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after="379" w:line="1" w:lineRule="exact"/>
      </w:pPr>
    </w:p>
    <w:tbl>
      <w:tblPr>
        <w:tblOverlap w:val="never"/>
        <w:jc w:val="center"/>
        <w:tblLayout w:type="fixed"/>
      </w:tblPr>
      <w:tblGrid>
        <w:gridCol w:w="581"/>
        <w:gridCol w:w="6864"/>
      </w:tblGrid>
      <w:tr>
        <w:trPr>
          <w:trHeight w:val="461" w:hRule="exact"/>
        </w:trPr>
        <w:tc>
          <w:tcPr>
            <w:gridSpan w:val="2"/>
            <w:tcBorders>
              <w:top w:val="single" w:sz="4"/>
              <w:left w:val="single" w:sz="4"/>
              <w:right w:val="single" w:sz="4"/>
            </w:tcBorders>
            <w:shd w:val="clear" w:color="auto" w:fill="D9E9F8"/>
            <w:vAlign w:val="top"/>
          </w:tcPr>
          <w:p>
            <w:pPr>
              <w:pStyle w:val="Style18"/>
              <w:keepNext w:val="0"/>
              <w:keepLines w:val="0"/>
              <w:widowControl w:val="0"/>
              <w:shd w:val="clear" w:color="auto" w:fill="auto"/>
              <w:spacing w:before="0" w:after="0" w:line="240" w:lineRule="auto"/>
              <w:ind w:left="0" w:right="0" w:firstLine="0"/>
              <w:jc w:val="left"/>
            </w:pPr>
            <w:r>
              <w:rPr>
                <w:rStyle w:val="CharStyle19"/>
                <w:u w:val="single"/>
              </w:rPr>
              <w:t xml:space="preserve">Dre Janet Woodcock (13 mai 2024)</w:t>
            </w:r>
          </w:p>
        </w:tc>
      </w:tr>
      <w:tr>
        <w:trPr>
          <w:trHeight w:val="1368"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60" w:right="0" w:firstLine="0"/>
              <w:jc w:val="both"/>
            </w:pPr>
            <w:r>
              <w:rPr>
                <w:rStyle w:val="CharStyle19"/>
              </w:rPr>
              <w:t xml:space="preserve">Êtes-vous d’accord pour dire qu’une indemnisation adéquate et complète pour les personnes qui subissent des événements indésirables rares mais graves liés aux vaccins est un élément important de la promotion de la confiance dans les vaccins?</w:t>
            </w:r>
          </w:p>
        </w:tc>
      </w:tr>
      <w:tr>
        <w:trPr>
          <w:trHeight w:val="566"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60"/>
              <w:jc w:val="both"/>
            </w:pPr>
            <w:r>
              <w:rPr>
                <w:rStyle w:val="CharStyle19"/>
              </w:rPr>
              <w:t xml:space="preserve">Je suis d'accord avec cela.</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60"/>
              <w:jc w:val="both"/>
            </w:pPr>
            <w:r>
              <w:rPr>
                <w:rStyle w:val="CharStyle19"/>
              </w:rPr>
              <w:t xml:space="preserve">Souhaitez-vous expliquer pourquoi?</w:t>
            </w:r>
          </w:p>
        </w:tc>
      </w:tr>
      <w:tr>
        <w:trPr>
          <w:trHeight w:val="2366" w:hRule="exact"/>
        </w:trPr>
        <w:tc>
          <w:tcPr>
            <w:tcBorders>
              <w:left w:val="single" w:sz="4"/>
              <w:bottom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ind w:left="260" w:right="0" w:firstLine="0"/>
              <w:jc w:val="both"/>
            </w:pPr>
            <w:r>
              <w:rPr>
                <w:rStyle w:val="CharStyle19"/>
              </w:rPr>
              <w:t xml:space="preserve">Parce que toute intervention médicale causera des dommages ainsi que des avantages majeurs. Donc, les lois disent sûr et efficace, mais sûr signifie vraiment par rapport à l'ampleur de l'avantage, non sans aucun mal. Donc, les gens qui prennent des vaccins ne se protègent pas seulement eux-mêmes, mais le font pour protéger les autres, et ainsi de suite. Et je crois comprendre que la Loi sur l'indemnisation pour incitation à la vaccination a été adoptée afin de reconnaître que les gens peuvent être lésés et de les indemniser adéquatement et de les protéger.</w:t>
              <w:footnoteReference w:id="2"/>
            </w:r>
          </w:p>
        </w:tc>
      </w:tr>
    </w:tbl>
    <w:p>
      <w:pPr>
        <w:widowControl w:val="0"/>
        <w:spacing w:after="279" w:line="1" w:lineRule="exact"/>
      </w:pP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Le 21 mars 2024, le Dr Gentry a témoigné que le succès des programmes de vaccination américains dépendait de la confiance du public dans les vaccins.</w:t>
      </w:r>
    </w:p>
    <w:p>
      <w:pPr>
        <w:pStyle w:val="Style24"/>
        <w:keepNext w:val="0"/>
        <w:keepLines w:val="0"/>
        <w:widowControl w:val="0"/>
        <w:shd w:val="clear" w:color="auto" w:fill="auto"/>
        <w:spacing w:before="0" w:after="280"/>
        <w:ind w:left="0" w:right="0" w:firstLine="740"/>
        <w:jc w:val="left"/>
      </w:pPr>
      <w:r>
        <w:rPr>
          <w:rStyle w:val="CharStyle25"/>
          <w:u w:val="single"/>
        </w:rPr>
        <w:t xml:space="preserve">Dre Renee Gentry (21 mars 2024)</w:t>
      </w:r>
    </w:p>
    <w:p>
      <w:pPr>
        <w:pStyle w:val="Style24"/>
        <w:keepNext w:val="0"/>
        <w:keepLines w:val="0"/>
        <w:widowControl w:val="0"/>
        <w:shd w:val="clear" w:color="auto" w:fill="auto"/>
        <w:spacing w:before="0" w:after="280"/>
        <w:ind w:left="740" w:right="0" w:firstLine="0"/>
        <w:jc w:val="left"/>
      </w:pPr>
      <w:r>
        <w:rPr>
          <w:rStyle w:val="CharStyle25"/>
        </w:rPr>
        <w:t xml:space="preserve">Une partie essentielle de la confiance dans les vaccins consiste à s'assurer que les personnes rares qui sont blessées par les vaccins disposent d'un forum raisonnable et efficace pour faire leurs réclamations. </w:t>
        <w:footnoteReference w:id="3"/>
      </w:r>
    </w:p>
    <w:p>
      <w:pPr>
        <w:pStyle w:val="Style24"/>
        <w:keepNext w:val="0"/>
        <w:keepLines w:val="0"/>
        <w:widowControl w:val="0"/>
        <w:shd w:val="clear" w:color="auto" w:fill="auto"/>
        <w:spacing w:before="0" w:after="280"/>
        <w:ind w:left="0" w:right="0" w:firstLine="740"/>
        <w:jc w:val="left"/>
      </w:pPr>
      <w:r>
        <w:rPr>
          <w:rStyle w:val="CharStyle25"/>
        </w:rPr>
        <w:t xml:space="preserve">Pour bien se préparer à une future pandémie, il est essentiel que le gouvernement fédéral et les responsables de la santé publique favorisent la confiance dans les vaccins. Peu importe l'innocuité d'un vaccin, la confiance ne peut être adéquatement favorisée sans des systèmes de rémunération efficaces et transparents. Par conséquent, il semble qu'une réforme importante puisse s'avérer nécessaire.</w:t>
      </w:r>
    </w:p>
    <w:p>
      <w:pPr>
        <w:pStyle w:val="Style24"/>
        <w:keepNext w:val="0"/>
        <w:keepLines w:val="0"/>
        <w:widowControl w:val="0"/>
        <w:shd w:val="clear" w:color="auto" w:fill="auto"/>
        <w:spacing w:before="0" w:after="280" w:line="264" w:lineRule="auto"/>
        <w:ind w:left="1460" w:right="0" w:hanging="1460"/>
        <w:jc w:val="left"/>
      </w:pPr>
      <w:r>
        <w:rPr>
          <w:rStyle w:val="CharStyle25"/>
        </w:rPr>
        <w:t xml:space="preserve">CONSTATATION : Débattre ou discuter de l’indemnisation des victimes de vaccins n’est pas «anti-Vax» et les implications sont par ailleurs contre-productives pour la protection de la santé publique.</w: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Il est paradoxal d’insinuer que le vaccin blessé est «anti-vax» puisqu’une personne doit être vaccinée pour subir un événement indésirable grave. Ce fait a été bien défini par le Dr Gentry:</w:t>
      </w:r>
    </w:p>
    <w:p>
      <w:pPr>
        <w:pStyle w:val="Style24"/>
        <w:keepNext w:val="0"/>
        <w:keepLines w:val="0"/>
        <w:widowControl w:val="0"/>
        <w:shd w:val="clear" w:color="auto" w:fill="auto"/>
        <w:spacing w:before="0" w:after="280" w:line="264" w:lineRule="auto"/>
        <w:ind w:left="0" w:right="0" w:firstLine="740"/>
        <w:jc w:val="left"/>
      </w:pPr>
      <w:r>
        <w:rPr>
          <w:rStyle w:val="CharStyle25"/>
          <w:u w:val="single"/>
        </w:rPr>
        <w:t xml:space="preserve">Dre Renee Gentry (21 mars 2024)</w:t>
      </w:r>
    </w:p>
    <w:p>
      <w:pPr>
        <w:pStyle w:val="Style24"/>
        <w:keepNext w:val="0"/>
        <w:keepLines w:val="0"/>
        <w:widowControl w:val="0"/>
        <w:shd w:val="clear" w:color="auto" w:fill="auto"/>
        <w:spacing w:before="0" w:after="280" w:line="264" w:lineRule="auto"/>
        <w:ind w:left="740" w:right="0" w:firstLine="0"/>
        <w:jc w:val="both"/>
      </w:pPr>
      <w:r>
        <w:rPr>
          <w:rStyle w:val="CharStyle25"/>
        </w:rPr>
        <w:t xml:space="preserve">Il est essentiel de distinguer le vaccin blessé de l'anti-vax. Tous mes clients ont été vaccinés. Ils ont subi des blessures réelles et souvent catastrophiques qui sont étayées par la littérature médicale et scientifique et l'opinion d'experts. </w:t>
        <w:footnoteReference w:id="4"/>
      </w: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Le Dr Gentry a également fait valoir qu'il est contre-productif pour leurs objectifs que les défenseurs des vaccins utilisent de tels péjoratifs lorsqu'ils discutent de l'indemnisation des blessures causées par le vaccin, car cela renforce l'hésitation à la vaccination.</w:t>
      </w:r>
    </w:p>
    <w:p>
      <w:pPr>
        <w:pStyle w:val="Style24"/>
        <w:keepNext w:val="0"/>
        <w:keepLines w:val="0"/>
        <w:widowControl w:val="0"/>
        <w:shd w:val="clear" w:color="auto" w:fill="auto"/>
        <w:spacing w:before="0" w:after="280"/>
        <w:ind w:left="0" w:right="0" w:firstLine="740"/>
        <w:jc w:val="left"/>
      </w:pPr>
      <w:r>
        <w:rPr>
          <w:rStyle w:val="CharStyle25"/>
          <w:u w:val="single"/>
        </w:rPr>
        <w:t xml:space="preserve">Dre Renee Gentry (21 mars 2024)</w:t>
      </w:r>
    </w:p>
    <w:p>
      <w:pPr>
        <w:pStyle w:val="Style24"/>
        <w:keepNext w:val="0"/>
        <w:keepLines w:val="0"/>
        <w:widowControl w:val="0"/>
        <w:shd w:val="clear" w:color="auto" w:fill="auto"/>
        <w:spacing w:before="0" w:after="280"/>
        <w:ind w:left="740" w:right="0" w:firstLine="0"/>
        <w:jc w:val="both"/>
      </w:pPr>
      <w:r>
        <w:rPr>
          <w:rStyle w:val="CharStyle25"/>
        </w:rPr>
        <w:t xml:space="preserve">Les commentaires bien intentionnés, souvent dédaigneux et critiques du côté pro-vaccin</w:t>
        <w:softHyphen/>
        <w:t xml:space="preserve">dirigés contre les personnes affirmant une lésion vaccinale créent et renforcent également l'hésitation vaccinale chez les personnes qui ont déjà été vaccinées et qui sont pro-vaccin. Le vaccin blessé que mes collègues et moi-même représentons n'est pas anti-vax.</w:t>
        <w:footnoteReference w:id="5"/>
      </w:r>
    </w:p>
    <w:p>
      <w:pPr>
        <w:pStyle w:val="Style24"/>
        <w:keepNext w:val="0"/>
        <w:keepLines w:val="0"/>
        <w:widowControl w:val="0"/>
        <w:shd w:val="clear" w:color="auto" w:fill="auto"/>
        <w:spacing w:before="0" w:after="280"/>
        <w:ind w:left="0" w:right="0" w:firstLine="740"/>
        <w:jc w:val="left"/>
      </w:pPr>
      <w:r>
        <w:rPr>
          <w:rStyle w:val="CharStyle25"/>
        </w:rPr>
        <w:t xml:space="preserve">Ce langage de division était un faux pas critique de la campagne de vaccination contre la COVID-19 qui a aliéné et rejeté les personnes qui avaient connu des réactions indésirables rares mais qui ont changé la vie du vaccin.</w:t>
      </w:r>
    </w:p>
    <w:p>
      <w:pPr>
        <w:pStyle w:val="Style24"/>
        <w:keepNext w:val="0"/>
        <w:keepLines w:val="0"/>
        <w:widowControl w:val="0"/>
        <w:shd w:val="clear" w:color="auto" w:fill="auto"/>
        <w:spacing w:before="0" w:after="280"/>
        <w:ind w:left="0" w:right="0" w:firstLine="0"/>
        <w:jc w:val="left"/>
      </w:pPr>
      <w:r>
        <w:rPr>
          <w:rStyle w:val="CharStyle25"/>
        </w:rPr>
        <w:t xml:space="preserve">VIII. L'érosion de la relation médecin-patient pendant la pandémie de COVID-19</w:t>
      </w:r>
    </w:p>
    <w:p>
      <w:pPr>
        <w:pStyle w:val="Style24"/>
        <w:keepNext w:val="0"/>
        <w:keepLines w:val="0"/>
        <w:widowControl w:val="0"/>
        <w:shd w:val="clear" w:color="auto" w:fill="auto"/>
        <w:spacing w:before="0" w:after="280"/>
        <w:ind w:left="0" w:right="0" w:firstLine="740"/>
        <w:jc w:val="left"/>
      </w:pPr>
      <w:r>
        <w:rPr>
          <w:rStyle w:val="CharStyle25"/>
        </w:rPr>
        <w:t xml:space="preserve">Les données disponibles montrent que la relation entre un médecin et son patient est un élément clé pour fournir des soins de haute qualité.</w:t>
        <w:footnoteReference w:id="6"/>
        <w:t xml:space="preserve"> Un médecin connaissant son patient et la nuance de ses antécédents médicaux a une valeur extraordinaire. Il permet au médecin de prendre des décisions éclairées sur les soins aux patients et des diagnostics plus précis. Cette relation est également essentielle pour assurer la confiance et le respect mutuels. De même, les médecins doivent avoir la capacité de saisir la valeur de cette relation et de prendre des décisions critiques, sans interférence extérieure.</w:t>
      </w:r>
    </w:p>
    <w:p>
      <w:pPr>
        <w:pStyle w:val="Style24"/>
        <w:keepNext w:val="0"/>
        <w:keepLines w:val="0"/>
        <w:widowControl w:val="0"/>
        <w:shd w:val="clear" w:color="auto" w:fill="auto"/>
        <w:spacing w:before="0" w:after="280"/>
        <w:ind w:left="0" w:right="0" w:firstLine="740"/>
        <w:jc w:val="left"/>
      </w:pPr>
      <w:r>
        <w:rPr>
          <w:rStyle w:val="CharStyle25"/>
        </w:rPr>
        <w:t xml:space="preserve">Dans un avis juridique de 2006, un tribunal de l’Illinois a défini la relation médecin-patient comme «une relation consensuelle dans laquelle le patient demande sciemment l’assistance du médecin et dans laquelle le médecin accepte sciemment la personne en tant que patient». </w:t>
        <w:footnoteReference w:id="7"/>
        <w:t xml:space="preserve"> Toutefois, cette définition légaliste n’explique guère ce qui est si puissant et important dans cette dynamique. Selon le code de déontologie de l’American Medical Association (ci-après l’«AMA»), cette relation est décrite comme suit:</w:t>
      </w:r>
    </w:p>
    <w:p>
      <w:pPr>
        <w:pStyle w:val="Style24"/>
        <w:keepNext w:val="0"/>
        <w:keepLines w:val="0"/>
        <w:widowControl w:val="0"/>
        <w:shd w:val="clear" w:color="auto" w:fill="auto"/>
        <w:spacing w:before="0" w:after="280"/>
        <w:ind w:left="740" w:right="0" w:firstLine="0"/>
        <w:jc w:val="both"/>
      </w:pPr>
      <w:r>
        <w:rPr>
          <w:rStyle w:val="CharStyle25"/>
        </w:rPr>
        <w:t xml:space="preserve">La pratique de la médecine, et son incarnation dans la rencontre clinique entre un patient et un médecin, est fondamentalement une activité morale qui découle de l'impératif de prendre soin des patients et d'alléger la souffrance. La relation entre un patient et un médecin est fondée sur la confiance, ce qui confère aux médecins la responsabilité éthique de placer le bien-être des patients au-dessus de l’intérêt personnel du médecin ou de ses obligations envers les autres, d’utiliser un jugement médical solide au nom des patients et de défendre le bien-être de leurs patients. </w:t>
        <w:footnoteReference w:id="8"/>
      </w:r>
    </w:p>
    <w:p>
      <w:pPr>
        <w:pStyle w:val="Style24"/>
        <w:keepNext w:val="0"/>
        <w:keepLines w:val="0"/>
        <w:widowControl w:val="0"/>
        <w:shd w:val="clear" w:color="auto" w:fill="auto"/>
        <w:spacing w:before="0" w:after="280"/>
        <w:ind w:left="0" w:right="0" w:firstLine="740"/>
        <w:jc w:val="left"/>
      </w:pPr>
      <w:r>
        <w:rPr>
          <w:rStyle w:val="CharStyle25"/>
        </w:rPr>
        <w:t xml:space="preserve">Un article publié en 2015 intitulé Impact of the Doctor-Patient Relationship a identifié les quatre éléments qui forment la relation médecin-patient comme la confiance, la connaissance, la considération et la loyauté.</w:t>
        <w:footnoteReference w:id="9"/>
        <w:t xml:space="preserve"> Le document note certains des avantages puissants qu’une relation solide peut apporter, notamment que «la connaissance qu’a un médecin des affections et de l’état émotionnel du patient est associée positivement à la résolution ou non de ces affections physiques». La conclusion du document était la suivante:</w:t>
      </w:r>
    </w:p>
    <w:p>
      <w:pPr>
        <w:pStyle w:val="Style24"/>
        <w:keepNext w:val="0"/>
        <w:keepLines w:val="0"/>
        <w:widowControl w:val="0"/>
        <w:shd w:val="clear" w:color="auto" w:fill="auto"/>
        <w:spacing w:before="0" w:after="280"/>
        <w:ind w:left="740" w:right="0" w:firstLine="0"/>
        <w:jc w:val="both"/>
      </w:pPr>
      <w:r>
        <w:rPr>
          <w:rStyle w:val="CharStyle25"/>
        </w:rPr>
        <w:t xml:space="preserve">Comme l’illustrent nos vignettes, la relation médecin-patient est un élément puissant de la visite d’un médecin et peut modifier les résultats pour la santé des patients. Par conséquent, il est important que les médecins reconnaissent quand la relation est contestée ou défaillante. Si la relation est contestée ou défaillante, les médecins devraient être en mesure de reconnaître les causes de la perturbation de la relation et de mettre en œuvre des solutions pour améliorer les soins.</w:t>
        <w:footnoteReference w:id="10"/>
      </w: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Étant donné que la relation directe d’un médecin avec son patient est un aspect si important de la prestation de soins de santé, il est donc important que les politiques et les systèmes de soins de santé donnent la priorité à cette relation et la préservent. Alors que le système de santé américain continue d'évoluer pour faire face à de nouveaux défis et utiliser de nouvelles technologies, il est toujours important que nous considérions l'élément interhumain et son lien direct avec des résultats positifs pour la santé. Il s'agissait d'une composante de la réponse mondiale à la COVID-19 qui a été tragiquement ignorée au profit de solutions universelles à courte vue.</w:t>
      </w:r>
    </w:p>
    <w:p>
      <w:pPr>
        <w:pStyle w:val="Style24"/>
        <w:keepNext w:val="0"/>
        <w:keepLines w:val="0"/>
        <w:widowControl w:val="0"/>
        <w:shd w:val="clear" w:color="auto" w:fill="auto"/>
        <w:spacing w:before="0" w:after="280" w:line="264" w:lineRule="auto"/>
        <w:ind w:left="1460" w:right="0" w:hanging="1460"/>
        <w:jc w:val="left"/>
      </w:pPr>
      <w:r>
        <w:rPr>
          <w:rStyle w:val="CharStyle25"/>
        </w:rPr>
        <w:t xml:space="preserve">CONSTATATION : La politique de l'ère pandémique souvent ignorée ou carrément violée la sainteté de la relation médecin-patient.</w:t>
      </w:r>
    </w:p>
    <w:p>
      <w:pPr>
        <w:pStyle w:val="Style24"/>
        <w:keepNext w:val="0"/>
        <w:keepLines w:val="0"/>
        <w:widowControl w:val="0"/>
        <w:shd w:val="clear" w:color="auto" w:fill="auto"/>
        <w:spacing w:before="0" w:after="280"/>
        <w:ind w:left="0" w:right="0" w:firstLine="740"/>
        <w:jc w:val="left"/>
      </w:pPr>
      <w:r>
        <w:rPr>
          <w:rStyle w:val="CharStyle25"/>
        </w:rPr>
        <w:t xml:space="preserve">Certaines des décisions les plus importantes de la pandémie de COVID-19 concernaient les vaccins contre la COVID-19. Malheureusement, la politique gouvernementale sur ce front a violé le caractère sacré de la relation médecin-patient et peut avoir des conséquences permanentes. Un exemple flagrant est le fait que des centaines de millions de doses de vaccins contre la COVID-19 ont été distribuées dans le cadre d'un arrangement réglementaire qui ne garantissait pas les mêmes normes de consentement éclairé que les médicaments entièrement approuvés.</w:t>
      </w:r>
    </w:p>
    <w:p>
      <w:pPr>
        <w:pStyle w:val="Style24"/>
        <w:keepNext w:val="0"/>
        <w:keepLines w:val="0"/>
        <w:widowControl w:val="0"/>
        <w:shd w:val="clear" w:color="auto" w:fill="auto"/>
        <w:spacing w:before="0" w:after="280"/>
        <w:ind w:left="0" w:right="0" w:firstLine="740"/>
        <w:jc w:val="left"/>
      </w:pPr>
      <w:r>
        <w:rPr>
          <w:rStyle w:val="CharStyle25"/>
        </w:rPr>
        <w:t xml:space="preserve">En règle générale, le consentement éclairé est « le processus par lequel un prestataire de soins de santé informe un patient des risques, des avantages et des alternatives d’une procédure ou d’une intervention donnée ». </w:t>
        <w:footnoteReference w:id="11"/>
        <w:t xml:space="preserve"> L’American Medical Association (AMA) indique que « le processus de consentement éclairé se produit lorsque la communication entre un patient et un médecin aboutit à l’autorisation ou à l’accord du patient de subir une intervention médicale spécifique ».</w:t>
        <w:footnoteReference w:id="12"/>
        <w:t xml:space="preserve"> Les documents d’orientation de la FDA indiquent que le consentement éclairé « n’est pas requis pour l’administration ou l’utilisation d’un produit EUA ».</w:t>
        <w:footnoteReference w:id="13"/>
        <w:t xml:space="preserve"> Lors d’un entretien transcrit mené par le personnel du sous-comité restreint, le Dr Woodcock a volontiers admis ce fait :</w:t>
      </w:r>
    </w:p>
    <w:p>
      <w:pPr>
        <w:pStyle w:val="Style24"/>
        <w:keepNext w:val="0"/>
        <w:keepLines w:val="0"/>
        <w:widowControl w:val="0"/>
        <w:shd w:val="clear" w:color="auto" w:fill="auto"/>
        <w:spacing w:before="0" w:after="280" w:line="240" w:lineRule="auto"/>
        <w:ind w:left="0" w:right="0" w:firstLine="740"/>
        <w:jc w:val="left"/>
      </w:pPr>
      <w:r>
        <w:rPr>
          <w:rStyle w:val="CharStyle25"/>
          <w:u w:val="single"/>
        </w:rPr>
        <w:t xml:space="preserve">Dre Janet Woodcock (13 mai 2024)</w:t>
      </w:r>
    </w:p>
    <w:p>
      <w:pPr>
        <w:pStyle w:val="Style24"/>
        <w:keepNext w:val="0"/>
        <w:keepLines w:val="0"/>
        <w:widowControl w:val="0"/>
        <w:shd w:val="clear" w:color="auto" w:fill="auto"/>
        <w:spacing w:before="0" w:after="280" w:line="240" w:lineRule="auto"/>
        <w:ind w:left="0" w:right="0" w:firstLine="740"/>
        <w:jc w:val="left"/>
      </w:pPr>
      <w:r>
        <w:rPr>
          <w:rStyle w:val="CharStyle25"/>
        </w:rPr>
        <w:t xml:space="preserve">Q. Une EUA nécessite-t-elle le consentement éclairé des individus?</w:t>
      </w:r>
    </w:p>
    <w:p>
      <w:pPr>
        <w:pStyle w:val="Style24"/>
        <w:keepNext w:val="0"/>
        <w:keepLines w:val="0"/>
        <w:widowControl w:val="0"/>
        <w:shd w:val="clear" w:color="auto" w:fill="auto"/>
        <w:spacing w:before="0" w:after="280" w:line="240" w:lineRule="auto"/>
        <w:ind w:left="0" w:right="0" w:firstLine="740"/>
        <w:jc w:val="left"/>
      </w:pPr>
      <w:r>
        <w:rPr>
          <w:rStyle w:val="CharStyle25"/>
        </w:rPr>
        <w:t xml:space="preserve">R. Je crois comprendre que ce n'est pas le cas. </w:t>
        <w:footnoteReference w:id="14"/>
      </w:r>
    </w:p>
    <w:p>
      <w:pPr>
        <w:pStyle w:val="Style24"/>
        <w:keepNext w:val="0"/>
        <w:keepLines w:val="0"/>
        <w:widowControl w:val="0"/>
        <w:shd w:val="clear" w:color="auto" w:fill="auto"/>
        <w:spacing w:before="0"/>
        <w:ind w:left="0" w:right="0" w:firstLine="740"/>
        <w:jc w:val="left"/>
      </w:pPr>
      <w:r>
        <w:rPr>
          <w:rStyle w:val="CharStyle25"/>
        </w:rPr>
        <w:t xml:space="preserve">Le Dr Woodcock a témoigné qu’au lieu des documents juridiques typiques, il y avait des «fiches d’information» distribuées pour les vaccins et les traitements contre la COVID-19 qui «expliquaient... quels étaient les paramètres».</w:t>
        <w:footnoteReference w:id="15"/>
        <w:t xml:space="preserve"> Le CDC produit des déclarations d’information sur les vaccins [ci-après le «VIS»] que la loi fédérale exige que le personnel de santé fournisse à un patient, à un parent ou à un représentant légal avant chaque dose de certains vaccins.</w:t>
        <w:footnoteReference w:id="16"/>
        <w:t xml:space="preserve"> Étant donné que les vaccins contre la COVID-19 ne sont pas couverts par la loi nationale sur les blessures causées par les vaccins contre l’enfance, le personnel de santé n’est pas tenu de fournir des VIS avant d’administrer les vaccins contre la COVID-19.</w:t>
        <w:footnoteReference w:id="17"/>
      </w:r>
    </w:p>
    <w:p>
      <w:pPr>
        <w:pStyle w:val="Style24"/>
        <w:keepNext w:val="0"/>
        <w:keepLines w:val="0"/>
        <w:widowControl w:val="0"/>
        <w:shd w:val="clear" w:color="auto" w:fill="auto"/>
        <w:spacing w:before="0"/>
        <w:ind w:left="0" w:right="0" w:firstLine="740"/>
        <w:jc w:val="left"/>
      </w:pPr>
      <w:r>
        <w:rPr>
          <w:rStyle w:val="CharStyle25"/>
        </w:rPr>
        <w:t xml:space="preserve">En outre, pendant la pandémie, les vaccins étaient souvent administrés dans les pharmacies plutôt que dans le cabinet d’un médecin ou à l’hôpital. En août 2020, le HHS a publié un amendement à la déclaration PREP Act qui permettait aux pharmaciens agréés par l’État d’administrer des vaccins dans certaines circonstances.</w:t>
        <w:footnoteReference w:id="18"/>
        <w:t xml:space="preserve"> Un rapport de janvier 2023 sur les tendances en matière d’administration de vaccins a révélé que «pour tous les vaccins destinés aux adultes dans le champ d’application, une grande majorité de l’administration a eu lieu au niveau de la pharmacie par rapport à un environnement médical non pharmaceutique...».</w:t>
        <w:footnoteReference w:id="19"/>
        <w:t xml:space="preserve"> Ce rapport ne tenait pas compte des endroits où les demandes ne seraient pas générées, y compris les centres de vaccination de masse qui ont administré une part importante des doses de vaccin contre la COVID-19 au début du déploiement.</w:t>
      </w:r>
    </w:p>
    <w:p>
      <w:pPr>
        <w:pStyle w:val="Style24"/>
        <w:keepNext w:val="0"/>
        <w:keepLines w:val="0"/>
        <w:widowControl w:val="0"/>
        <w:shd w:val="clear" w:color="auto" w:fill="auto"/>
        <w:spacing w:before="0"/>
        <w:ind w:left="0" w:right="0" w:firstLine="740"/>
        <w:jc w:val="left"/>
      </w:pPr>
      <w:r>
        <w:rPr>
          <w:rStyle w:val="CharStyle25"/>
        </w:rPr>
        <w:t xml:space="preserve">Bien que ces flexibilités aient été ostensiblement mises en place pour accroître l'accès aux vaccins, elles ont peut-être également contribué à éroder davantage le rôle des médecins dans ces décisions médicales importantes. À la suite de l’amendement du HHS d’août 2020, les représentants de l’AMA ont publiquement exhorté le HHS à «reconsidérer les répercussions négatives sur la santé de l’éloignement des enfants de leurs médecins de soins primaires et à annuler cette déclaration». </w:t>
        <w:footnoteReference w:id="20"/>
      </w:r>
    </w:p>
    <w:p>
      <w:pPr>
        <w:pStyle w:val="Style24"/>
        <w:keepNext w:val="0"/>
        <w:keepLines w:val="0"/>
        <w:widowControl w:val="0"/>
        <w:shd w:val="clear" w:color="auto" w:fill="auto"/>
        <w:spacing w:before="0"/>
        <w:ind w:left="0" w:right="0" w:firstLine="740"/>
        <w:jc w:val="left"/>
      </w:pPr>
      <w:r>
        <w:rPr>
          <w:rStyle w:val="CharStyle25"/>
        </w:rPr>
        <w:t xml:space="preserve">Pire encore, les politiques de vaccination obligatoire représentaient une attaque directe contre la relation médecin-patient. Les mandats de vaccination peuvent être l'exemple le plus saillant des politiques de l'ère pandémique où les gouvernements et autres entités politiques se sont insérés dans une décision qui devrait être entre chaque patient et leur médecin. Cela est intrinsèquement incompatible avec la définition de la relation</w:t>
        <w:softHyphen/>
        <w:t>médecin-patient.</w:t>
      </w:r>
    </w:p>
    <w:p>
      <w:pPr>
        <w:pStyle w:val="Style24"/>
        <w:keepNext w:val="0"/>
        <w:keepLines w:val="0"/>
        <w:widowControl w:val="0"/>
        <w:shd w:val="clear" w:color="auto" w:fill="auto"/>
        <w:spacing w:before="0" w:line="264" w:lineRule="auto"/>
        <w:ind w:left="0" w:right="0" w:firstLine="740"/>
        <w:jc w:val="left"/>
      </w:pPr>
      <w:r>
        <w:rPr>
          <w:rStyle w:val="CharStyle25"/>
        </w:rPr>
        <w:t xml:space="preserve">Les mandats de vaccination contre la COVID-19 ont également largement ignoré la notion d’immunité naturellement acquise. Selon la norme de la plupart des mandats de vaccination contre la COVID-19, aucune exception n'a été faite pour ceux qui avaient déjà contracté le virus. Les mandats ne laissaient pas non plus de place aux femmes enceintes ou qui tentaient de tomber enceintes. Si laissé aux médecins, qui sont familiers avec leurs patients et leur santé, les risques et les avantages individuels des patients auraient pu être beaucoup mieux évalués. Lors de l’audition du 27 juillet 2023 de la sous-commission spéciale sur les mandats en matière de vaccins, le président Wenstrup a partagé sa propre expérience en ce qui concerne cette approche unique:</w:t>
      </w:r>
    </w:p>
    <w:p>
      <w:pPr>
        <w:pStyle w:val="Style24"/>
        <w:keepNext w:val="0"/>
        <w:keepLines w:val="0"/>
        <w:widowControl w:val="0"/>
        <w:shd w:val="clear" w:color="auto" w:fill="auto"/>
        <w:spacing w:before="0"/>
        <w:ind w:left="0" w:right="0" w:firstLine="740"/>
        <w:jc w:val="left"/>
      </w:pPr>
      <w:r>
        <w:rPr>
          <w:rStyle w:val="CharStyle25"/>
          <w:u w:val="single"/>
        </w:rPr>
        <w:t xml:space="preserve">Président Brad Wenstrup (27 juillet 2023)</w:t>
      </w:r>
    </w:p>
    <w:p>
      <w:pPr>
        <w:pStyle w:val="Style24"/>
        <w:keepNext w:val="0"/>
        <w:keepLines w:val="0"/>
        <w:widowControl w:val="0"/>
        <w:shd w:val="clear" w:color="auto" w:fill="auto"/>
        <w:spacing w:before="0"/>
        <w:ind w:left="740" w:right="0" w:firstLine="0"/>
        <w:jc w:val="left"/>
      </w:pPr>
      <w:r>
        <w:rPr>
          <w:rStyle w:val="CharStyle25"/>
        </w:rPr>
        <w:t xml:space="preserve">J'ai été vacciné, Pfizer, les deux doses. Six mois plus tard, j'ai eu le COVID. La seule raison que je connaissais, c’est que je ne sentais pas le sel d’ail. On m'a dit que j'avais besoin d'un rappel pour voyager. J'ai dit que j'aimerais vérifier mes lymphocytes T et mes anticorps. Le labo ici présent ne pouvait pas faire les lymphocytes T. J'ai mes anticorps. Le nombre fort était de 40. Mon numéro était 821. Dois-je prendre un rappel? C'est une question légitime. Je ne veux pas de réponse hyperimmune.</w:t>
        <w:footnoteReference w:id="21"/>
      </w:r>
    </w:p>
    <w:p>
      <w:pPr>
        <w:pStyle w:val="Style24"/>
        <w:keepNext w:val="0"/>
        <w:keepLines w:val="0"/>
        <w:widowControl w:val="0"/>
        <w:shd w:val="clear" w:color="auto" w:fill="auto"/>
        <w:spacing w:before="0"/>
        <w:ind w:left="0" w:right="0" w:firstLine="740"/>
        <w:jc w:val="left"/>
      </w:pPr>
      <w:r>
        <w:rPr>
          <w:rStyle w:val="CharStyle25"/>
        </w:rPr>
        <w:t xml:space="preserve">Dans le même ordre d’idées, certaines politiques pandémiques ont également exercé une pression politique intense sur les médecins pour qu’ils suivent la ligne et recommandent des vaccins et des rappels contre la COVID-19, qu’ils estiment ou non que les preuves étayent une telle recommandation. Les médecins ont vu des collègues qui se sont exprimés être ridiculisés et réduits au silence et beaucoup ont probablement choisi de garder leur propre dissidence pour eux-mêmes. </w:t>
        <w:footnoteReference w:id="22"/>
        <w:t xml:space="preserve">Certains conseils médicaux et gouvernements des États sont allés encore plus loin et ont pris des mesures juridiques et administratives contre les médecins qui étaient perçus comme diffusant de la désinformation. </w:t>
        <w:footnoteReference w:id="23"/>
      </w:r>
    </w:p>
    <w:p>
      <w:pPr>
        <w:pStyle w:val="Style24"/>
        <w:keepNext w:val="0"/>
        <w:keepLines w:val="0"/>
        <w:widowControl w:val="0"/>
        <w:shd w:val="clear" w:color="auto" w:fill="auto"/>
        <w:spacing w:before="0"/>
        <w:ind w:left="0" w:right="0" w:firstLine="740"/>
        <w:jc w:val="left"/>
      </w:pPr>
      <w:r>
        <w:rPr>
          <w:rStyle w:val="CharStyle25"/>
        </w:rPr>
        <w:t xml:space="preserve">Le Dr Azadeh Khatibi a témoigné lors de l’audition du sous-comité restreint du 14 septembre 2023 sur les politiques rigides anti-liberté d’expression qui ont été imposées aux prestataires médicaux en Californie pendant la pandémie.</w:t>
        <w:footnoteReference w:id="24"/>
        <w:t xml:space="preserve"> Un exemple en est une loi californienne signée par le gouverneur Gavin Newsom en août 2022, qui a déclaré que la diffusion de fausses informations ou de désinformation sur la COVID-19 par les médecins constituait une «conduite non professionnelle», définie par l’État comme «contradictée par un consensus scientifique contemporain contraire à la norme de soins». </w:t>
        <w:footnoteReference w:id="25"/>
        <w:t xml:space="preserve"> Le Dr Khatibi a témoigné qu’en tant que médecin en Californie, elle estimait que le consensus scientifique était «toujours à la pointe», raison pour laquelle les médecins ont historiquement «la liberté de contredire l’opinion consensuelle».</w:t>
        <w:footnoteReference w:id="26"/>
        <w:t xml:space="preserve"> La Californie a finalement abrogé cette loi en octobre 2023 après une pression juridique croissante, bien que des dommages importants aient déjà été causés. </w:t>
        <w:footnoteReference w:id="27"/>
      </w:r>
    </w:p>
    <w:p>
      <w:pPr>
        <w:pStyle w:val="Style24"/>
        <w:keepNext w:val="0"/>
        <w:keepLines w:val="0"/>
        <w:widowControl w:val="0"/>
        <w:shd w:val="clear" w:color="auto" w:fill="auto"/>
        <w:spacing w:before="0"/>
        <w:ind w:left="0" w:right="0" w:firstLine="740"/>
        <w:jc w:val="left"/>
      </w:pPr>
      <w:r>
        <w:rPr>
          <w:rStyle w:val="CharStyle25"/>
        </w:rPr>
        <w:t xml:space="preserve">Non seulement les mandats de vaccination étaient inefficaces, mais ils étaient également nocifs. Comme cela a été établi lors de l’audition de la sous-commission spéciale sur le sujet en juillet 2023, les mandats en matière de vaccins ont causé d’importants dommages collatéraux.</w:t>
        <w:footnoteReference w:id="28"/>
        <w:t xml:space="preserve"> Un document du BMJ de mai 2022 intitulé Les conséquences involontaires de la politique vaccinale contre la COVID-19: les raisons pour lesquelles les mandats, les passeports et les restrictions peuvent causer plus de tort que de bien ont montré que les mandats de vaccination contre la COVID-19 ont causé d’importants dommages collatéraux. Le résumé du document indiquait ce qui suit:</w:t>
      </w:r>
    </w:p>
    <w:p>
      <w:pPr>
        <w:pStyle w:val="Style24"/>
        <w:keepNext w:val="0"/>
        <w:keepLines w:val="0"/>
        <w:widowControl w:val="0"/>
        <w:shd w:val="clear" w:color="auto" w:fill="auto"/>
        <w:spacing w:before="0"/>
        <w:ind w:left="740" w:right="0" w:firstLine="0"/>
        <w:jc w:val="both"/>
      </w:pPr>
      <w:r>
        <w:rPr>
          <w:rStyle w:val="CharStyle25"/>
        </w:rPr>
        <w:t xml:space="preserve">Notre analyse suggère fortement que les politiques obligatoires de vaccination contre la COVID-19 ont eu des effets néfastes sur la confiance du public, la confiance dans les vaccins, la polarisation politique, les droits de l'homme, les inégalités et le bien-être social. Nous remettons en question l'efficacité et les conséquences de la politique de vaccination coercitive dans la réponse à la pandémie et exhortons la communauté de la santé publique et les décideurs à revenir à des approches de santé publique non discriminatoires et fondées sur la confiance.</w:t>
        <w:footnoteReference w:id="29"/>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Le document affirme également que ces mandats vaccinaux peuvent «être en tension avec» les principes bioéthiques:</w:t>
      </w:r>
    </w:p>
    <w:p>
      <w:pPr>
        <w:pStyle w:val="Style24"/>
        <w:keepNext w:val="0"/>
        <w:keepLines w:val="0"/>
        <w:widowControl w:val="0"/>
        <w:shd w:val="clear" w:color="auto" w:fill="auto"/>
        <w:spacing w:before="0" w:after="280"/>
        <w:ind w:left="740" w:right="0" w:firstLine="0"/>
        <w:jc w:val="both"/>
      </w:pPr>
      <w:r>
        <w:rPr>
          <w:rStyle w:val="CharStyle25"/>
        </w:rPr>
        <w:t xml:space="preserve">Nier aux individus l’éducation, les moyens de subsistance, les soins médicaux ou la vie sociale à moins qu’ils ne soient vaccinés – en particulier à la lumière de la limitation des vaccins actuels – est sans doute en contradiction avec les principes constitutionnels et bioéthiques, en particulier dans les démocraties libérales. Alors que le soutien du public s'est consolidé derrière ces politiques dans de nombreux pays, nous devrions reconnaître que les cadres éthiques ont été conçus pour garantir que les droits et libertés sont respectés même en cas d'urgence de santé publique.</w:t>
        <w:footnoteReference w:id="30"/>
      </w:r>
    </w:p>
    <w:p>
      <w:pPr>
        <w:pStyle w:val="Style24"/>
        <w:keepNext w:val="0"/>
        <w:keepLines w:val="0"/>
        <w:widowControl w:val="0"/>
        <w:shd w:val="clear" w:color="auto" w:fill="auto"/>
        <w:spacing w:before="0" w:after="280"/>
        <w:ind w:left="0" w:right="0" w:firstLine="740"/>
        <w:jc w:val="left"/>
      </w:pPr>
      <w:r>
        <w:rPr>
          <w:rStyle w:val="CharStyle25"/>
        </w:rPr>
        <w:t xml:space="preserve">Lors de l’audition du sous-comité restreint du 14 septembre 2024, le Dr Jeffrey Singer – un chirurgien qui a écrit sur l’éthique médicale – a témoigné que les mandats de vaccination entravaient la confiance et sapaient la relation médecin-patient:</w:t>
      </w:r>
    </w:p>
    <w:p>
      <w:pPr>
        <w:pStyle w:val="Style24"/>
        <w:keepNext w:val="0"/>
        <w:keepLines w:val="0"/>
        <w:widowControl w:val="0"/>
        <w:shd w:val="clear" w:color="auto" w:fill="auto"/>
        <w:spacing w:before="0" w:after="280"/>
        <w:ind w:left="0" w:right="0" w:firstLine="740"/>
        <w:jc w:val="left"/>
      </w:pPr>
      <w:r>
        <w:rPr>
          <w:rStyle w:val="CharStyle25"/>
          <w:u w:val="single"/>
        </w:rPr>
        <w:t xml:space="preserve">Dr Jeffrey Singer (14 septembre 2024)</w:t>
      </w:r>
    </w:p>
    <w:p>
      <w:pPr>
        <w:pStyle w:val="Style24"/>
        <w:keepNext w:val="0"/>
        <w:keepLines w:val="0"/>
        <w:widowControl w:val="0"/>
        <w:shd w:val="clear" w:color="auto" w:fill="auto"/>
        <w:spacing w:before="0" w:after="280" w:line="264" w:lineRule="auto"/>
        <w:ind w:left="1460" w:right="0" w:hanging="720"/>
        <w:jc w:val="both"/>
      </w:pPr>
      <w:r>
        <w:rPr>
          <w:rStyle w:val="CharStyle25"/>
        </w:rPr>
        <w:t xml:space="preserve">Q. Enfin, très simplement, pensez-vous que les mandats de vaccination facilitent la rupture de la relation patient-médecin?</w:t>
      </w:r>
    </w:p>
    <w:p>
      <w:pPr>
        <w:pStyle w:val="Style24"/>
        <w:keepNext w:val="0"/>
        <w:keepLines w:val="0"/>
        <w:widowControl w:val="0"/>
        <w:shd w:val="clear" w:color="auto" w:fill="auto"/>
        <w:spacing w:before="0" w:after="280"/>
        <w:ind w:left="1460" w:right="0" w:hanging="720"/>
        <w:jc w:val="both"/>
      </w:pPr>
      <w:r>
        <w:rPr>
          <w:rStyle w:val="CharStyle25"/>
        </w:rPr>
        <w:t xml:space="preserve">R. Je pense que le mandat le fait parce que, tout d’abord, c’est une tendance naturelle pour les gens à reculer lorsqu’ils sont mandatés, même si ce qui est mandaté est en fait une bonne idée. Les gens n’aiment pas qu’on leur dise qu’ils doivent faire des choses. Et donc, quand vous avez quelqu’un à qui il est important d’avoir une relation de confiance, le médecin et le patient, et que le patient comprend qu’il est obligé de faire quelque chose, je pense que cela sape simplement la relation de confiance entre le médecin et le patient.</w:t>
        <w:footnoteReference w:id="31"/>
      </w:r>
    </w:p>
    <w:p>
      <w:pPr>
        <w:pStyle w:val="Style24"/>
        <w:keepNext w:val="0"/>
        <w:keepLines w:val="0"/>
        <w:widowControl w:val="0"/>
        <w:shd w:val="clear" w:color="auto" w:fill="auto"/>
        <w:spacing w:before="0" w:after="280"/>
        <w:ind w:left="0" w:right="0" w:firstLine="740"/>
        <w:jc w:val="left"/>
      </w:pPr>
      <w:r>
        <w:rPr>
          <w:rStyle w:val="CharStyle25"/>
        </w:rPr>
        <w:t xml:space="preserve">Le Dr Singer a publié une étude intitulée «Un serment d’Hippocrate pour une société libre», dans laquelle il affirme que les médecins doivent toujours «prioriser l’autonomie et les droits des patients individuels» et prêter serment en déclarant:</w:t>
      </w:r>
    </w:p>
    <w:p>
      <w:pPr>
        <w:pStyle w:val="Style24"/>
        <w:keepNext w:val="0"/>
        <w:keepLines w:val="0"/>
        <w:widowControl w:val="0"/>
        <w:shd w:val="clear" w:color="auto" w:fill="auto"/>
        <w:spacing w:before="0" w:after="280"/>
        <w:ind w:left="740" w:right="0" w:firstLine="0"/>
        <w:jc w:val="both"/>
      </w:pPr>
      <w:r>
        <w:rPr>
          <w:rStyle w:val="CharStyle25"/>
        </w:rPr>
        <w:t xml:space="preserve">Je respecterai les avancées scientifiques cruciales en médecine, mais je remettrai toujours en question les hypothèses dont ma profession a hérité et je les jugerai à la lumière des dernières preuves. Je partagerai volontiers toutes les connaissances que j'ai tirées d'années de recherche, d'études et d'expérience clinique avec des professionnels de la santé dans toutes les disciplines. Je respecterai l’autonomie de mes patients, expliquerai en détail toutes les possibilités de diagnostic et les options thérapeutiques telles que je les comprends, offrirai mon meilleur avis et mes meilleurs conseils parmi ces options et accepterai leurs décisions.</w:t>
        <w:footnoteReference w:id="32"/>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Lorsqu'on lui a demandé de développer son étude sur le serment d'Hippocrate, le Dr Singer a témoigné qu'il ne croyait pas que le gouvernement avait le droit d'imposer la vaccination:</w:t>
      </w:r>
    </w:p>
    <w:p>
      <w:pPr>
        <w:pStyle w:val="Style24"/>
        <w:keepNext w:val="0"/>
        <w:keepLines w:val="0"/>
        <w:widowControl w:val="0"/>
        <w:shd w:val="clear" w:color="auto" w:fill="auto"/>
        <w:spacing w:before="0" w:after="280"/>
        <w:ind w:left="0" w:right="0" w:firstLine="740"/>
        <w:jc w:val="left"/>
      </w:pPr>
      <w:r>
        <w:rPr>
          <w:rStyle w:val="CharStyle25"/>
          <w:u w:val="single"/>
        </w:rPr>
        <w:t xml:space="preserve">Dr Jeffrey Singer (14 septembre 2024)</w:t>
      </w:r>
    </w:p>
    <w:p>
      <w:pPr>
        <w:pStyle w:val="Style24"/>
        <w:keepNext w:val="0"/>
        <w:keepLines w:val="0"/>
        <w:widowControl w:val="0"/>
        <w:shd w:val="clear" w:color="auto" w:fill="auto"/>
        <w:spacing w:before="0" w:after="280"/>
        <w:ind w:left="1460" w:right="0" w:hanging="720"/>
        <w:jc w:val="both"/>
      </w:pPr>
      <w:r>
        <w:rPr>
          <w:rStyle w:val="CharStyle25"/>
        </w:rPr>
        <w:t xml:space="preserve">Q. Dr Singer, vous avez écrit sur les questions éthiques des mandats de vaccination contre la COVID-19, et vous l’avez souvent dit, et je cite à ce stade, en tant que médecin, j’approuve avec enthousiasme le vaccin contre la COVID-19, et vous avez personnellement été vacciné et vous encouragerez les autres à être vacciné. Mais vous avez continué brillamment en disant, mais j'utiliserai la persuasion, pas la coercition. Tes mots. Dr Singer, croyez-vous que les mandats de vaccination sans exemption sont incompatibles avec le serment d'Hippocrate ou les principes de la relation médecin-patient de base?</w:t>
      </w:r>
    </w:p>
    <w:p>
      <w:pPr>
        <w:pStyle w:val="Style24"/>
        <w:keepNext w:val="0"/>
        <w:keepLines w:val="0"/>
        <w:widowControl w:val="0"/>
        <w:shd w:val="clear" w:color="auto" w:fill="auto"/>
        <w:spacing w:before="0" w:after="280"/>
        <w:ind w:left="1460" w:right="0" w:hanging="720"/>
        <w:jc w:val="both"/>
      </w:pPr>
      <w:r>
        <w:rPr>
          <w:rStyle w:val="CharStyle25"/>
        </w:rPr>
        <w:t xml:space="preserve">A. Représentant Joyce, Dr Joyce, oui, je le fais. Je pense qu’en réalité, vous n’avez pas le droit de forcer quelqu’un à se faire vacciner. Évidemment, je crois que les vaccins ont sauvé des centaines de milliers de vies, et je me suis fait vacciner. J’ai eu les deux premiers tirs, et j’ai reçu le rappel peu de temps après, et je suis heureux de l’avoir fait. Mais mon rôle est de recommander aux gens, pas de forcer les gens, pas de contraindre les gens. De plus, certaines personnes ont de très bonnes raisons de ne pas se faire vacciner. Ils peuvent avoir des allergies. Il se peut qu’ils aient déjà eu la COVID-19, qu’ils aient une immunité naturelle et qu’ils soient préoccupés par une réaction à un vaccin qui est d’une nouvelle technologie et qui n’a pas fait l’objet d’essais cliniques en raison d’une autorisation d’utilisation d’urgence. Ce ne sont pas là des préoccupations déraisonnables. Je dois respecter ces préoccupations.</w:t>
        <w:footnoteReference w:id="33"/>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Dans l'ensemble, les Américains seraient mieux servis par un système de soins de santé qui encourageait les patients à demander conseil à un médecin de confiance concernant leurs antécédents médicaux individuels et les risques et les avantages d'être vaccinés. Cette relation entre le médecin et le patient est une pierre angulaire cruciale de la confiance globale dans la médecine et aurait pu aider à prévenir une partie de la rhétorique anti-scientifique et de la désinformation qui ont éclaté pendant la pandémie de COVID-19.</w:t>
      </w:r>
    </w:p>
    <w:p>
      <w:pPr>
        <w:pStyle w:val="Style24"/>
        <w:keepNext w:val="0"/>
        <w:keepLines w:val="0"/>
        <w:widowControl w:val="0"/>
        <w:shd w:val="clear" w:color="auto" w:fill="auto"/>
        <w:spacing w:before="0" w:after="280" w:line="264" w:lineRule="auto"/>
        <w:ind w:left="1460" w:right="0" w:hanging="1460"/>
        <w:jc w:val="left"/>
      </w:pPr>
      <w:r>
        <w:rPr>
          <w:rStyle w:val="CharStyle25"/>
        </w:rPr>
        <w:t xml:space="preserve">CONSTATATION : L'utilisation de prescriptions hors étiquette a été injustement diabolisée et a érodé davantage la relation médecin-patient.</w:t>
      </w:r>
    </w:p>
    <w:p>
      <w:pPr>
        <w:pStyle w:val="Style24"/>
        <w:keepNext w:val="0"/>
        <w:keepLines w:val="0"/>
        <w:widowControl w:val="0"/>
        <w:shd w:val="clear" w:color="auto" w:fill="auto"/>
        <w:spacing w:before="0"/>
        <w:ind w:left="0" w:right="0" w:firstLine="740"/>
        <w:jc w:val="left"/>
      </w:pPr>
      <w:r>
        <w:rPr>
          <w:rStyle w:val="CharStyle25"/>
        </w:rPr>
        <w:t xml:space="preserve">La pandémie de COVID-19 a creusé les clivages politiques et sociaux et ouvert de nouvelles blessures dans le discours public. Malheureusement, les soins de santé n'ont pas fait exception. L'assaut de la controverse, de la polarisation, de la honte et de la censure a endommagé la profession ainsi que le système de soins de santé plus largement. Un outil extrêmement courant et important à la disposition des médecins est la prescription d’un médicament approuvé par la FDA pour une utilisation pour laquelle le médicament n’est pas spécifiquement approuvé – connue sous le nom d’«utilisation hors AMM». Des études ont montré que jusqu’à 33 % de toutes les prescriptions aux États-Unis sont destinées à des utilisations hors AMM.</w:t>
        <w:footnoteReference w:id="34"/>
      </w:r>
    </w:p>
    <w:p>
      <w:pPr>
        <w:pStyle w:val="Style24"/>
        <w:keepNext w:val="0"/>
        <w:keepLines w:val="0"/>
        <w:widowControl w:val="0"/>
        <w:shd w:val="clear" w:color="auto" w:fill="auto"/>
        <w:spacing w:before="0"/>
        <w:ind w:left="0" w:right="0" w:firstLine="740"/>
        <w:jc w:val="left"/>
      </w:pPr>
      <w:r>
        <w:rPr>
          <w:rStyle w:val="CharStyle25"/>
        </w:rPr>
        <w:t xml:space="preserve">L'une des raisons pour lesquelles l'utilisation hors AMM est si courante est la difficulté pour les entreprises pharmaceutiques d'obtenir un médicament approuvé par la FDA pour chaque indication possible, dose, population de patients, etc. Ainsi, l'utilisation hors AMM des médicaments est particulièrement importante pour ceux qui souffrent de maladies ou d'affections pour lesquelles il existe peu ou même pas de traitements approuvés, en particulier les maladies rares, ou les nouveaux virus.</w:t>
      </w:r>
    </w:p>
    <w:p>
      <w:pPr>
        <w:pStyle w:val="Style24"/>
        <w:keepNext w:val="0"/>
        <w:keepLines w:val="0"/>
        <w:widowControl w:val="0"/>
        <w:shd w:val="clear" w:color="auto" w:fill="auto"/>
        <w:spacing w:before="0" w:after="440"/>
        <w:ind w:left="0" w:right="0" w:firstLine="740"/>
        <w:jc w:val="left"/>
      </w:pPr>
      <w:r>
        <w:rPr>
          <w:rStyle w:val="CharStyle25"/>
        </w:rPr>
        <w:t xml:space="preserve">Cependant, pendant la pandémie, les utilisations hors AMM des traitements possibles contre la COVID-19 ont été diabolisées rapidement et systématiquement. Les médecins sont fréquemment réprimandés, menacés, censurés ou même licenciés par leurs employeurs pour l'avoir fait. Le gouvernement fédéral a militarisé les organismes de santé publique pour promouvoir la peur entourant les médicaments tels que l'ivermectine et l'hydroxychloroquine. Plus tristement célèbre, la FDA a tweeté depuis son compte Twitter officiel (aujourd’hui X): «Vous n’êtes pas un cheval. Tu n'es pas une vache. Sérieusement, vous tous. Arrête ça.»</w:t>
        <w:footnoteReference w:id="35"/>
      </w:r>
    </w:p>
    <w:p>
      <w:pPr>
        <w:framePr w:w="346" w:h="346" w:hSpace="614" w:wrap="notBeside" w:vAnchor="text" w:hAnchor="text" w:x="2286" w:y="1"/>
        <w:widowControl w:val="0"/>
        <w:rPr>
          <w:sz w:val="2"/>
        </w:rPr>
      </w:pPr>
      <w:r>
        <w:drawing>
          <wp:inline>
            <wp:extent cx="219710" cy="219710"/>
            <wp:docPr id="1" name="Picutre 1"/>
            <a:graphic xmlns:a="http://schemas.openxmlformats.org/drawingml/2006/main">
              <a:graphicData uri="http://schemas.openxmlformats.org/drawingml/2006/picture">
                <pic:pic xmlns:pic="http://schemas.openxmlformats.org/drawingml/2006/picture">
                  <pic:nvPicPr>
                    <pic:cNvPr id="1" name="Image 1"/>
                    <pic:cNvPicPr/>
                  </pic:nvPicPr>
                  <pic:blipFill>
                    <a:blip r:embed="rId5"/>
                    <a:stretch/>
                  </pic:blipFill>
                  <pic:spPr>
                    <a:xfrm>
                      <a:ext cx="219710" cy="219710"/>
                    </a:xfrm>
                    <a:prstGeom prst="rect"/>
                  </pic:spPr>
                </pic:pic>
              </a:graphicData>
            </a:graphic>
          </wp:inline>
        </w:drawing>
      </w:r>
    </w:p>
    <w:p>
      <w:pPr>
        <w:widowControl w:val="0"/>
        <w:spacing w:line="1" w:lineRule="exact"/>
      </w:pPr>
      <w:r>
        <mc:AlternateContent>
          <mc:Choice Requires="wps">
            <w:drawing>
              <wp:anchor distT="0" distB="0" distL="1450975" distR="3907790" simplePos="0" relativeHeight="125829378" behindDoc="0" locked="0" layoutInCell="1" allowOverlap="1">
                <wp:simplePos x="0" y="0"/>
                <wp:positionH relativeFrom="column">
                  <wp:posOffset>1685925</wp:posOffset>
                </wp:positionH>
                <wp:positionV relativeFrom="paragraph">
                  <wp:posOffset>8890</wp:posOffset>
                </wp:positionV>
                <wp:extent cx="374650" cy="198120"/>
                <wp:wrapTopAndBottom/>
                <wp:docPr id="2" name="Forme 2"/>
                <a:graphic xmlns:a="http://schemas.openxmlformats.org/drawingml/2006/main">
                  <a:graphicData uri="http://schemas.microsoft.com/office/word/2010/wordprocessingShape">
                    <wps:wsp>
                      <wps:cNvSpPr txBox="1"/>
                      <wps:spPr>
                        <a:xfrm>
                          <a:ext cx="374650" cy="198120"/>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0"/>
                              </w:rPr>
                            </w:pPr>
                            <w:r>
                              <w:rPr>
                                <w:rStyle w:val="CharStyle28"/>
                                <w:sz w:val="10"/>
                              </w:rPr>
                              <w:t xml:space="preserve">FDA des États-Unis</w:t>
                            </w:r>
                          </w:p>
                          <w:p>
                            <w:pPr>
                              <w:pStyle w:val="Style27"/>
                              <w:keepNext w:val="0"/>
                              <w:keepLines w:val="0"/>
                              <w:widowControl w:val="0"/>
                              <w:shd w:val="clear" w:color="auto" w:fill="auto"/>
                              <w:spacing w:before="0" w:after="0" w:line="240" w:lineRule="auto"/>
                              <w:ind w:left="0" w:right="0" w:firstLine="0"/>
                              <w:jc w:val="left"/>
                              <w:rPr>
                                <w:sz w:val="10"/>
                              </w:rPr>
                            </w:pPr>
                            <w:r>
                              <w:rPr>
                                <w:rStyle w:val="CharStyle28"/>
                                <w:color w:val="A0A1A1"/>
                                <w:sz w:val="10"/>
                              </w:rPr>
                              <w:t>@USJDA</w:t>
                            </w:r>
                          </w:p>
                        </w:txbxContent>
                      </wps:txbx>
                      <wps:bodyPr lIns="0" tIns="0" rIns="0" bIns="0">
                        <a:noAutoFit/>
                      </wps:bodyPr>
                    </wps:wsp>
                  </a:graphicData>
                </a:graphic>
              </wp:anchor>
            </w:drawing>
          </mc:Choice>
        </mc:AlternateContent>
      </w:r>
    </w:p>
    <w:p>
      <w:pPr>
        <w:pStyle w:val="Style27"/>
        <w:keepNext w:val="0"/>
        <w:keepLines w:val="0"/>
        <w:widowControl w:val="0"/>
        <w:shd w:val="clear" w:color="auto" w:fill="auto"/>
        <w:spacing w:before="0" w:after="0" w:line="240" w:lineRule="auto"/>
        <w:ind w:left="0" w:right="0" w:firstLine="0"/>
        <w:jc w:val="left"/>
        <w:rPr>
          <w:sz w:val="12"/>
        </w:rPr>
      </w:pPr>
      <w:r>
        <w:rPr>
          <w:rStyle w:val="CharStyle28"/>
          <w:color w:val="A0A1A1"/>
          <w:sz w:val="12"/>
        </w:rPr>
        <w:t xml:space="preserve">Vous n'êtes pas un cheval. Tu n'es pas une vache. Sérieusement. /tous. Arrête ça.</w:t>
      </w:r>
    </w:p>
    <w:p>
      <w:pPr>
        <w:widowControl w:val="0"/>
        <w:jc w:val="center"/>
        <w:rPr>
          <w:sz w:val="2"/>
        </w:rPr>
      </w:pPr>
      <w:r>
        <w:drawing>
          <wp:inline>
            <wp:extent cx="2609215" cy="1390015"/>
            <wp:docPr id="4" name="Picutre 4"/>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stretch/>
                  </pic:blipFill>
                  <pic:spPr>
                    <a:xfrm>
                      <a:ext cx="2609215" cy="1390015"/>
                    </a:xfrm>
                    <a:prstGeom prst="rect"/>
                  </pic:spPr>
                </pic:pic>
              </a:graphicData>
            </a:graphic>
          </wp:inline>
        </w:drawing>
      </w:r>
    </w:p>
    <w:p>
      <w:pPr>
        <w:pStyle w:val="Style27"/>
        <w:keepNext w:val="0"/>
        <w:keepLines w:val="0"/>
        <w:widowControl w:val="0"/>
        <w:shd w:val="clear" w:color="auto" w:fill="auto"/>
        <w:spacing w:before="0" w:after="0" w:line="322" w:lineRule="auto"/>
        <w:ind w:left="77" w:right="0" w:firstLine="0"/>
        <w:jc w:val="left"/>
        <w:rPr>
          <w:sz w:val="10"/>
        </w:rPr>
      </w:pPr>
      <w:r>
        <w:rPr>
          <w:rStyle w:val="CharStyle28"/>
          <w:color w:val="A0A1A1"/>
          <w:sz w:val="10"/>
        </w:rPr>
        <w:t>taa.gov</w:t>
      </w:r>
    </w:p>
    <w:p>
      <w:pPr>
        <w:pStyle w:val="Style27"/>
        <w:keepNext w:val="0"/>
        <w:keepLines w:val="0"/>
        <w:widowControl w:val="0"/>
        <w:shd w:val="clear" w:color="auto" w:fill="auto"/>
        <w:spacing w:before="0" w:after="0" w:line="322" w:lineRule="auto"/>
        <w:ind w:left="77" w:right="0" w:firstLine="0"/>
        <w:jc w:val="left"/>
        <w:rPr>
          <w:sz w:val="10"/>
        </w:rPr>
      </w:pPr>
      <w:r>
        <w:rPr>
          <w:rStyle w:val="CharStyle28"/>
          <w:color w:val="A0A1A1"/>
          <w:sz w:val="10"/>
        </w:rPr>
        <w:t xml:space="preserve">Pourquoi vous ne devriez pas utiliser l'ivermectine pour traiter ou prévenir la COVID-19 L'utilisation du médicament ivermectine pour traiter la COVID-19 peut être dangereuse et même mortelle. La FDA n'a pas approuvé le médicament à cette fin.</w:t>
      </w:r>
    </w:p>
    <w:p>
      <w:pPr>
        <w:widowControl w:val="0"/>
        <w:spacing w:after="179" w:line="1" w:lineRule="exact"/>
      </w:pPr>
    </w:p>
    <w:p>
      <w:pPr>
        <w:pStyle w:val="Style32"/>
        <w:keepNext w:val="0"/>
        <w:keepLines w:val="0"/>
        <w:widowControl w:val="0"/>
        <w:shd w:val="clear" w:color="auto" w:fill="auto"/>
        <w:spacing w:before="0" w:line="240" w:lineRule="auto"/>
        <w:ind w:right="0" w:firstLine="0"/>
        <w:jc w:val="left"/>
      </w:pPr>
      <w:r>
        <w:rPr>
          <w:rStyle w:val="CharStyle33"/>
        </w:rPr>
        <w:t xml:space="preserve">7 h 57 – 21 août 2021</w:t>
      </w:r>
    </w:p>
    <w:p>
      <w:pPr>
        <w:pStyle w:val="Style24"/>
        <w:keepNext w:val="0"/>
        <w:keepLines w:val="0"/>
        <w:widowControl w:val="0"/>
        <w:shd w:val="clear" w:color="auto" w:fill="auto"/>
        <w:spacing w:before="0"/>
        <w:ind w:left="0" w:right="0" w:firstLine="740"/>
        <w:jc w:val="left"/>
      </w:pPr>
      <w:r>
        <w:rPr>
          <w:rStyle w:val="CharStyle25"/>
        </w:rPr>
        <w:t xml:space="preserve">Ce tweet a apparemment confondu la prescription hors AMM de l'Ivermectine comme étant la même que les humains prenant intentionnellement la version vétérinaire du médicament sans médecin. Ce faisant, la FDA a politisé la question, empoisonnant à jamais toute discussion future sur la véracité des affirmations selon lesquelles tout médicament réutilisé pourrait être efficace contre le COVID-19. De même, le 29 août 2021, le Dr Fauci est apparu sur l’état de l’Union de CNN avec Jake Tapper et n’a pas corrigé l’implication de M. Tapper selon laquelle l’ivermectine n’est qu’un «médicament antiparasitaire pour chevaux».</w:t>
        <w:footnoteReference w:id="36"/>
      </w:r>
    </w:p>
    <w:p>
      <w:pPr>
        <w:pStyle w:val="Style24"/>
        <w:keepNext w:val="0"/>
        <w:keepLines w:val="0"/>
        <w:widowControl w:val="0"/>
        <w:shd w:val="clear" w:color="auto" w:fill="auto"/>
        <w:spacing w:before="0" w:line="240" w:lineRule="auto"/>
        <w:ind w:left="0" w:right="0" w:firstLine="740"/>
        <w:jc w:val="left"/>
      </w:pPr>
      <w:r>
        <w:rPr>
          <w:rStyle w:val="CharStyle25"/>
          <w:u w:val="single"/>
        </w:rPr>
        <w:t xml:space="preserve">Dr Anthony Fauci (29 août 2021)</w:t>
      </w:r>
    </w:p>
    <w:p>
      <w:pPr>
        <w:pStyle w:val="Style24"/>
        <w:keepNext w:val="0"/>
        <w:keepLines w:val="0"/>
        <w:widowControl w:val="0"/>
        <w:shd w:val="clear" w:color="auto" w:fill="auto"/>
        <w:spacing w:before="0" w:after="280"/>
        <w:ind w:left="1460" w:right="0" w:hanging="720"/>
        <w:jc w:val="both"/>
      </w:pPr>
      <w:r>
        <w:rPr>
          <w:rStyle w:val="CharStyle25"/>
        </w:rPr>
        <w:t xml:space="preserve">Q. Les centres antipoison rapportent que leurs appels montent en flèche dans des endroits comme le Mississippi et l'Oklahoma parce que certains Américains essaient d'utiliser un médicament antiparasitaire appelé Ivermectine pour traiter le coronavirus, pour éviter de contracter le coronavirus. Que diriez-vous à quelqu’un qui envisage de prendre ce médicament?</w:t>
      </w:r>
    </w:p>
    <w:p>
      <w:pPr>
        <w:pStyle w:val="Style24"/>
        <w:keepNext w:val="0"/>
        <w:keepLines w:val="0"/>
        <w:widowControl w:val="0"/>
        <w:shd w:val="clear" w:color="auto" w:fill="auto"/>
        <w:spacing w:before="0" w:after="280"/>
        <w:ind w:left="1460" w:right="0" w:hanging="720"/>
        <w:jc w:val="both"/>
      </w:pPr>
      <w:r>
        <w:rPr>
          <w:rStyle w:val="CharStyle25"/>
        </w:rPr>
        <w:t xml:space="preserve">R. Ne le faites pas. Il n’y a aucune preuve que cela fonctionne, et cela pourrait potentiellement avoir une toxicité, comme vous venez de le mentionner, avec des personnes qui sont allées dans des centres antipoison parce qu’elles ont pris le médicament à une dose ridicule et finissent par tomber malades. Aucune preuve clinique n’indique que cela fonctionne.</w:t>
        <w:footnoteReference w:id="37"/>
      </w:r>
    </w:p>
    <w:p>
      <w:pPr>
        <w:pStyle w:val="Style24"/>
        <w:keepNext w:val="0"/>
        <w:keepLines w:val="0"/>
        <w:widowControl w:val="0"/>
        <w:shd w:val="clear" w:color="auto" w:fill="auto"/>
        <w:spacing w:before="0" w:after="280"/>
        <w:ind w:left="0" w:right="0" w:firstLine="740"/>
        <w:jc w:val="left"/>
      </w:pPr>
      <w:r>
        <w:rPr>
          <w:rStyle w:val="CharStyle25"/>
        </w:rPr>
        <w:t xml:space="preserve">Cette campagne contre certaines prescriptions hors AMM, en particulier l'ivermectine, a également fait l'objet de litiges. Le 1er septembre 2023, la cour d’appel du cinquième circuit des États-Unis a relancé une action en justice intentée par un groupe de médecins qui soutenaient que leurs réputations avaient été indûment lésées par les actions de la FDA, l’un des juges écrivant «[l]es médecins ont vraisemblablement allégué que les publications de la FDA étaient du mauvais côté de la ligne entre parler et dire à».</w:t>
        <w:footnoteReference w:id="38"/>
        <w:t xml:space="preserve"> En fin de compte, dans le cadre d’un règlement amiable, la FDA a accepté de supprimer et de ne pas republier ce tweet (et plusieurs publications connexes sur les médias sociaux) et de retirer l’article de mise à jour pour les consommateurs initialement publié le 5 mars 2021.</w:t>
        <w:footnoteReference w:id="39"/>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Lors de l’audition du sous-comité restreint du 14 septembre 2023, le Dr Jerry Williams a témoigné que des médicaments hors AMM avaient été prescrits à de nombreuses reprises avant et pendant la pandémie de COVID-19, y compris l’ivermectine et l’hydroxychloroquine.</w:t>
        <w:footnoteReference w:id="40"/>
        <w:t xml:space="preserve"> Il a également déclaré qu’il pensait que la campagne de pression du gouvernement les avait rendues plus difficiles à obtenir.</w:t>
      </w:r>
    </w:p>
    <w:p>
      <w:pPr>
        <w:pStyle w:val="Style24"/>
        <w:keepNext w:val="0"/>
        <w:keepLines w:val="0"/>
        <w:widowControl w:val="0"/>
        <w:shd w:val="clear" w:color="auto" w:fill="auto"/>
        <w:spacing w:before="0" w:after="280" w:line="259" w:lineRule="auto"/>
        <w:ind w:left="0" w:right="0" w:firstLine="740"/>
        <w:jc w:val="left"/>
      </w:pPr>
      <w:r>
        <w:rPr>
          <w:rStyle w:val="CharStyle25"/>
          <w:u w:val="single"/>
        </w:rPr>
        <w:t xml:space="preserve">Dr Jerry Williams (14 septembre 2023)</w:t>
      </w:r>
    </w:p>
    <w:p>
      <w:pPr>
        <w:pStyle w:val="Style24"/>
        <w:keepNext w:val="0"/>
        <w:keepLines w:val="0"/>
        <w:widowControl w:val="0"/>
        <w:shd w:val="clear" w:color="auto" w:fill="auto"/>
        <w:spacing w:before="0" w:after="280" w:line="259" w:lineRule="auto"/>
        <w:ind w:left="1460" w:right="0" w:hanging="720"/>
        <w:jc w:val="left"/>
      </w:pPr>
      <w:r>
        <w:rPr>
          <w:rStyle w:val="CharStyle25"/>
        </w:rPr>
        <w:t xml:space="preserve">Q. Croyez-vous que les mesures prises par la FDA ou d'autres fonctionnaires fédéraux peuvent avoir causé cela?</w:t>
      </w:r>
    </w:p>
    <w:p>
      <w:pPr>
        <w:pStyle w:val="Style24"/>
        <w:keepNext w:val="0"/>
        <w:keepLines w:val="0"/>
        <w:widowControl w:val="0"/>
        <w:shd w:val="clear" w:color="auto" w:fill="auto"/>
        <w:tabs>
          <w:tab w:pos="1402" w:val="left"/>
        </w:tabs>
        <w:spacing w:before="0" w:after="280" w:line="259" w:lineRule="auto"/>
        <w:ind w:left="0" w:right="0" w:firstLine="740"/>
        <w:jc w:val="left"/>
      </w:pPr>
      <w:r>
        <w:rPr>
          <w:rStyle w:val="CharStyle25"/>
        </w:rPr>
        <w:t>A.</w:t>
        <w:tab/>
        <w:t xml:space="preserve">Oui. Sans aucun doute.</w:t>
        <w:footnoteReference w:id="41"/>
      </w:r>
    </w:p>
    <w:p>
      <w:pPr>
        <w:pStyle w:val="Style24"/>
        <w:keepNext w:val="0"/>
        <w:keepLines w:val="0"/>
        <w:widowControl w:val="0"/>
        <w:shd w:val="clear" w:color="auto" w:fill="auto"/>
        <w:spacing w:before="0" w:after="280"/>
        <w:ind w:left="0" w:right="0" w:firstLine="740"/>
        <w:jc w:val="left"/>
      </w:pPr>
      <w:r>
        <w:rPr>
          <w:rStyle w:val="CharStyle25"/>
        </w:rPr>
        <w:t xml:space="preserve">Dans sa déclaration liminaire, le Dr Williams a témoigné que, lorsque la pandémie a commencé, son carquois de «flèches» pour lutter contre le virus consistait en un seul comprimé de zinc de sa pharmacie locale.</w:t>
        <w:footnoteReference w:id="42"/>
        <w:t xml:space="preserve"> Lorsqu'une étude in vitro a été publiée en mars 2020 montrant que l'hydroxychloroquine peut être efficace dans l'inhibition du SARS-CoV-2, le Dr Williams a commencé à préparer un protocole de traitement pour les patients atteints de COVID-19:</w:t>
      </w:r>
    </w:p>
    <w:p>
      <w:pPr>
        <w:pStyle w:val="Style24"/>
        <w:keepNext w:val="0"/>
        <w:keepLines w:val="0"/>
        <w:widowControl w:val="0"/>
        <w:shd w:val="clear" w:color="auto" w:fill="auto"/>
        <w:spacing w:before="0"/>
        <w:ind w:left="0" w:right="0" w:firstLine="740"/>
        <w:jc w:val="left"/>
      </w:pPr>
      <w:r>
        <w:rPr>
          <w:rStyle w:val="CharStyle25"/>
          <w:u w:val="single"/>
        </w:rPr>
        <w:t xml:space="preserve">Dr Jerry Williams (14 septembre 2023)</w:t>
      </w:r>
    </w:p>
    <w:p>
      <w:pPr>
        <w:pStyle w:val="Style24"/>
        <w:keepNext w:val="0"/>
        <w:keepLines w:val="0"/>
        <w:widowControl w:val="0"/>
        <w:shd w:val="clear" w:color="auto" w:fill="auto"/>
        <w:spacing w:before="0" w:line="264" w:lineRule="auto"/>
        <w:ind w:left="740" w:right="0" w:firstLine="0"/>
        <w:jc w:val="both"/>
      </w:pPr>
      <w:r>
        <w:rPr>
          <w:rStyle w:val="CharStyle25"/>
        </w:rPr>
        <w:t xml:space="preserve">Nous n'avons jamais tenté de faire une étude publiable. Notre objectif était de tuer ce virus et de sauver le prochain patient qui passerait la porte. Nous n'avons jamais adopté une approche unique. Nous avons traité chaque patient avec autant de notre protocole qu'il était approprié et sûr et nos preuves anecdotiques se sont accumulées.</w:t>
      </w:r>
    </w:p>
    <w:p>
      <w:pPr>
        <w:pStyle w:val="Style24"/>
        <w:keepNext w:val="0"/>
        <w:keepLines w:val="0"/>
        <w:widowControl w:val="0"/>
        <w:shd w:val="clear" w:color="auto" w:fill="auto"/>
        <w:spacing w:before="0"/>
        <w:ind w:left="740" w:right="0" w:firstLine="0"/>
        <w:jc w:val="both"/>
      </w:pPr>
      <w:r>
        <w:rPr>
          <w:rStyle w:val="CharStyle25"/>
        </w:rPr>
        <w:t xml:space="preserve">En résumé, j'ai simplement adhéré à mon serment d'Hippocrate et à un principe de base de la médecine, en particulier la médecine des maladies infectieuses - que le complexe</w:t>
        <w:softHyphen/>
        <w:t xml:space="preserve">médical industriel et la bureaucratie nous ont tous demandé d'oublier - traitez tôt pour éviter que les agents affligés, qu'ils soient bactériens, viraux, fongiques ou protozoaires, ne prennent pied.</w:t>
      </w:r>
    </w:p>
    <w:p>
      <w:pPr>
        <w:pStyle w:val="Style24"/>
        <w:keepNext w:val="0"/>
        <w:keepLines w:val="0"/>
        <w:widowControl w:val="0"/>
        <w:shd w:val="clear" w:color="auto" w:fill="auto"/>
        <w:spacing w:before="0"/>
        <w:ind w:left="740" w:right="0" w:firstLine="0"/>
        <w:jc w:val="both"/>
      </w:pPr>
      <w:r>
        <w:rPr>
          <w:rStyle w:val="CharStyle25"/>
        </w:rPr>
        <w:t xml:space="preserve">J'ai retroussé mes manches et appliqué ce que j'avais appris, j'ai été transparent et honnête avec mes patients, observé attentivement, suivi et documenté de manière compulsive, ajusté au besoin, appris à désapprendre et refusé ce qui était antithétique à la science médicale.</w:t>
        <w:footnoteReference w:id="43"/>
      </w:r>
    </w:p>
    <w:p>
      <w:pPr>
        <w:pStyle w:val="Style24"/>
        <w:keepNext w:val="0"/>
        <w:keepLines w:val="0"/>
        <w:widowControl w:val="0"/>
        <w:shd w:val="clear" w:color="auto" w:fill="auto"/>
        <w:spacing w:before="0"/>
        <w:ind w:left="0" w:right="0" w:firstLine="740"/>
        <w:jc w:val="left"/>
      </w:pPr>
      <w:r>
        <w:rPr>
          <w:rStyle w:val="CharStyle25"/>
        </w:rPr>
        <w:t xml:space="preserve">Dans sa déclaration écrite, le Dr Williams a également témoigné qu'une fois que l'EUA pour l'hydroxychloroquine a été révoquée par la FDA et que les conseils des pharmacies ont commencé à menacer les pharmaciens de remplir des ordonnances, il est devenu difficile d'obtenir des médicaments hors AMM pour traiter ses patients désespérés. Le Dr Williams a témoigné:</w:t>
      </w:r>
    </w:p>
    <w:p>
      <w:pPr>
        <w:pStyle w:val="Style24"/>
        <w:keepNext w:val="0"/>
        <w:keepLines w:val="0"/>
        <w:widowControl w:val="0"/>
        <w:shd w:val="clear" w:color="auto" w:fill="auto"/>
        <w:spacing w:before="0"/>
        <w:ind w:left="0" w:right="0" w:firstLine="740"/>
        <w:jc w:val="left"/>
      </w:pPr>
      <w:r>
        <w:rPr>
          <w:rStyle w:val="CharStyle25"/>
          <w:u w:val="single"/>
        </w:rPr>
        <w:t xml:space="preserve">Dr Jerry Williams (14 septembre 2024)</w:t>
      </w:r>
    </w:p>
    <w:p>
      <w:pPr>
        <w:pStyle w:val="Style24"/>
        <w:keepNext w:val="0"/>
        <w:keepLines w:val="0"/>
        <w:widowControl w:val="0"/>
        <w:shd w:val="clear" w:color="auto" w:fill="auto"/>
        <w:spacing w:before="0" w:line="264" w:lineRule="auto"/>
        <w:ind w:left="740" w:right="0" w:firstLine="0"/>
        <w:jc w:val="both"/>
      </w:pPr>
      <w:r>
        <w:rPr>
          <w:rStyle w:val="CharStyle25"/>
        </w:rPr>
        <w:t xml:space="preserve">Les pharmaciens ont toujours été mes partenaires, mes coéquipiers, pour soigner mes patients. Mais cela a également changé rapidement pendant la pandémie lorsque l'EUA pour l'hydroxychloroquine a été révoquée par la FDA. Avec les campagnes de désinformation du gouvernement, les conseils des pharmacies envoyant des lettres de menace aux pharmaciens, certains ont rapidement commencé à refuser de remplir les prescriptions d’hydroxychloroquine. J'ai eu des discussions off-label avec mes patients.</w:t>
      </w:r>
    </w:p>
    <w:p>
      <w:pPr>
        <w:pStyle w:val="Style24"/>
        <w:keepNext w:val="0"/>
        <w:keepLines w:val="0"/>
        <w:widowControl w:val="0"/>
        <w:shd w:val="clear" w:color="auto" w:fill="auto"/>
        <w:spacing w:before="0"/>
        <w:ind w:left="740" w:right="0" w:firstLine="0"/>
        <w:jc w:val="both"/>
      </w:pPr>
      <w:r>
        <w:rPr>
          <w:rStyle w:val="CharStyle25"/>
        </w:rPr>
        <w:t xml:space="preserve">En tant que neurologue enfantin, j'étais habitué à cela parce que de nombreux médicaments sont retardés ou n'obtiennent jamais l'approbation de la FDA chez les enfants. Tous les risques et avantages ont été discutés et le patient a pris une décision éclairée, mais les pharmaciens ont commencé à déshonorer la relation médecin-patient. Les conseils de pharmacie d'États tels que Washington et d'autres ont demandé aux pharmaciens de signaler les médecins qui prescrivent de l'hydroxychloroquine et de l'ivermectine pour une utilisation hors AMM. Pour la première fois de ma carrière, les pharmaciens n'étaient pas mes coéquipiers et partenaires, ils étaient mes adversaires potentiels. Un autre obstacle à franchir pour obtenir à mes patients les médicaments et les soins dont ils avaient désespérément besoin et qu'ils voulaient.</w:t>
        <w:footnoteReference w:id="44"/>
      </w:r>
      <w:r>
        <w:br w:type="page"/>
      </w:r>
    </w:p>
    <w:p>
      <w:pPr>
        <w:pStyle w:val="Style24"/>
        <w:keepNext w:val="0"/>
        <w:keepLines w:val="0"/>
        <w:widowControl w:val="0"/>
        <w:shd w:val="clear" w:color="auto" w:fill="auto"/>
        <w:spacing w:before="0" w:after="240"/>
        <w:ind w:left="0" w:right="0" w:firstLine="720"/>
        <w:jc w:val="left"/>
      </w:pPr>
      <w:r>
        <w:rPr>
          <w:rStyle w:val="CharStyle25"/>
        </w:rPr>
        <w:t xml:space="preserve">Lors de l’audition du sous-comité restreint du 14 septembre 2023, le Dr Singer a témoigné que des approches telles que celle du Dr Williams sont importantes parce qu’elles permettent au domaine clinique d’acquérir des connaissances scientifiques:</w:t>
      </w:r>
    </w:p>
    <w:tbl>
      <w:tblPr>
        <w:tblOverlap w:val="never"/>
        <w:jc w:val="center"/>
        <w:tblLayout w:type="fixed"/>
      </w:tblPr>
      <w:tblGrid>
        <w:gridCol w:w="581"/>
        <w:gridCol w:w="6864"/>
      </w:tblGrid>
      <w:tr>
        <w:trPr>
          <w:trHeight w:val="288"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Jeffrey Singer (14 septembre 2024)</w:t>
            </w:r>
          </w:p>
        </w:tc>
      </w:tr>
      <w:tr>
        <w:trPr>
          <w:trHeight w:val="998"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59" w:lineRule="auto"/>
              <w:ind w:left="260" w:right="0" w:firstLine="0"/>
              <w:jc w:val="left"/>
            </w:pPr>
            <w:r>
              <w:rPr>
                <w:rStyle w:val="CharStyle19"/>
              </w:rPr>
              <w:t xml:space="preserve">Dr Singer, pourquoi est-il important de préserver le droit d’un médecin de prescrire des médicaments hors AMM?</w:t>
            </w:r>
          </w:p>
        </w:tc>
      </w:tr>
      <w:tr>
        <w:trPr>
          <w:trHeight w:val="2088" w:hRule="exact"/>
        </w:trPr>
        <w:tc>
          <w:tcPr>
            <w:tcBorders>
              <w:left w:val="single" w:sz="4"/>
              <w:bottom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ind w:left="260" w:right="0" w:firstLine="0"/>
              <w:jc w:val="both"/>
            </w:pPr>
            <w:r>
              <w:rPr>
                <w:rStyle w:val="CharStyle19"/>
              </w:rPr>
              <w:t xml:space="preserve">Eh bien, tout d'abord, une grande partie des connaissances cliniques provient de la prescription de médicaments hors AMM. Nous avons lu dans la littérature médicale la plupart du temps des études comparatives d'efficacité montrant comment différents médicaments qui ont été développés pour une maladie particulière semblent avoir une utilisation dans une autre maladie ... c'est ainsi que nous acquérons des connaissances scientifiques dans le domaine clinique. Vous ne pouvez vraiment pas acquérir de connaissances à moins d’essayer différentes choses et d’en rendre compte à vos collègues.</w:t>
              <w:footnoteReference w:id="45"/>
            </w:r>
          </w:p>
        </w:tc>
      </w:tr>
    </w:tbl>
    <w:p>
      <w:pPr>
        <w:pStyle w:val="Style34"/>
        <w:keepNext/>
        <w:keepLines/>
        <w:widowControl w:val="0"/>
        <w:pBdr>
          <w:bottom w:val="single" w:sz="4" w:space="0" w:color="auto"/>
        </w:pBdr>
        <w:shd w:val="clear" w:color="auto" w:fill="auto"/>
        <w:spacing w:before="0" w:line="240" w:lineRule="auto"/>
        <w:ind w:left="0" w:right="0" w:firstLine="0"/>
        <w:jc w:val="left"/>
      </w:pPr>
      <w:bookmarkStart w:id="0" w:name="bookmark0"/>
      <w:r>
        <w:rPr>
          <w:rStyle w:val="CharStyle35"/>
        </w:rPr>
        <w:t xml:space="preserve">L'impact économique de la pandémie de coronavirus et de la réponse des gouvernements associés sur les individus, les communautés, les petites entreprises, les prestataires de soins de santé, les États et les entités gouvernementales locales</w:t>
      </w:r>
      <w:bookmarkEnd w:id="0"/>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pandémie de COVID-19 a eu de profondes répercussions économiques à travers les États-Unis, affectant les individus, les communautés, les petites entreprises, les prestataires de soins de santé et les gouvernements des États et des collectivités locales.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740"/>
        <w:jc w:val="left"/>
      </w:pPr>
      <w:r>
        <w:rPr>
          <w:rStyle w:val="CharStyle25"/>
        </w:rPr>
        <w:t xml:space="preserve">Les Américains ont été confrontés à des pertes d'emplois généralisées, à des revenus réduits et à l'insécurité financière, en particulier chez les travailleurs à bas salaires et les minorités. Les réponses du gouvernement, y compris l'augmentation des prestations de chômage, les paiements de relance et les moratoires sur les expulsions, ont apporté un soulagement critique, mais ont également suscité des débats sur la dépendance économique à long terme et les pénuries de main-d'œuvre.</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740"/>
        <w:jc w:val="left"/>
      </w:pPr>
      <w:r>
        <w:rPr>
          <w:rStyle w:val="CharStyle25"/>
        </w:rPr>
        <w:t xml:space="preserve">Les communautés ont connu des perturbations dans la vie quotidienne, avec une inégalité économique accrue et des services sociaux tendus. La pandémie a creusé les disparités existantes, en particulier dans les communautés à faible revenu et minoritaires, où l’accès aux soins de santé et aux ressources financières était limité.</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Les petites entreprises ont été les plus durement touchées, en particulier celles des secteurs de la vente au détail, de l'hôtellerie et du divertissement. Beaucoup ont dû faire face à des fermetures ou à de graves pertes de revenus. Les interventions gouvernementales telles que le PPP et l'IEDL offraient une bouée de sauvetage, mais les difficultés d'accès aux fonds et d'adaptation aux nouvelles conditions du marché ont entraîné des fermetures permanentes généralisées.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Les prestataires de soins de santé ont été submergés par la flambée des cas de COVID-19, ce qui a entraîné des tensions financières dues à l’augmentation des coûts opérationnels et au report des procédures électives. Le soutien du gouvernement comprenait un financement d'urgence et la réduction des formalités administratives inutiles, mais le secteur était toujours confronté à des défis importants, notamment des pénuries d'approvisionnement et l'épuisement professionnel du personnel.</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Les gouvernements des États et des collectivités locales ont été confrontés à une baisse des recettes fiscales et à une demande accrue de services publics, ce qui a entraîné des coupes budgétaires et des licenciements. Les programmes d'aide fédéraux ont apporté un certain soulagement, mais les pressions financières ont mis en lumière les vulnérabilités du financement du secteur public et souligné la nécessité de politiques budgétaires plus durables.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Dans l’ensemble, la pandémie a souligné l’importance de la préparation, de la résilience et de l’accès aux ressources, la réponse du gouvernement américain jouant un rôle crucial dans l’atténuation des pires conséquences économiques tout en révélant les domaines dans lesquels il convient d’améliorer la gestion des crises et la répartition du soutien.</w:t>
      </w:r>
    </w:p>
    <w:p>
      <w:pPr>
        <w:pStyle w:val="Style24"/>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725" w:val="left"/>
        </w:tabs>
        <w:spacing w:before="0"/>
        <w:ind w:left="0" w:right="0" w:firstLine="0"/>
        <w:jc w:val="left"/>
      </w:pPr>
      <w:r>
        <w:rPr>
          <w:rStyle w:val="CharStyle25"/>
        </w:rPr>
        <w:t xml:space="preserve">L’impact de la pandémie de COVID-19 sur les entreprises américaines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pandémie de COVID-19 a été une crise sanitaire mondiale sans précédent qui a déclenché de profondes perturbations économiques. Les entreprises du monde entier ont été confrontées à de graves défis en raison des confinements imposés par les gouvernements, des restrictions de déplacement et des mesures de distanciation sociale visant à contenir la propagation du virus. Ces réponses de santé publique ont eu des conséquences économiques dévastatrices, forçant des millions d'entreprises à fermer temporairement ou définitivement. L’ampleur des fermetures d’entreprises pendant la pandémie de COVID-19 a été immense, de nombreux secteurs étant confrontés à une baisse de la demande, à des fermetures forcées et à des contraintes opérationnelles. Les petites et moyennes entreprises (PME), en particulier, ont été les principales victimes de la crise, compte tenu de leurs ressources financières limitées et de leur capacité réduite à résister à des périodes prolongées de revenus faibles ou inexistants.</w:t>
      </w:r>
    </w:p>
    <w:tbl>
      <w:tblPr>
        <w:tblOverlap w:val="never"/>
        <w:jc w:val="center"/>
        <w:tblLayout w:type="fixed"/>
      </w:tblPr>
      <w:tblGrid>
        <w:gridCol w:w="1406"/>
        <w:gridCol w:w="8237"/>
      </w:tblGrid>
      <w:tr>
        <w:trPr>
          <w:trHeight w:val="931" w:hRule="exact"/>
        </w:trPr>
        <w:tc>
          <w:tcPr>
            <w:tcBorders>
              <w:top w:val="single" w:sz="4"/>
              <w:left w:val="single" w:sz="4"/>
              <w:bottom w:val="single" w:sz="4"/>
            </w:tcBorders>
            <w:shd w:val="clear" w:color="auto" w:fill="D9F3D0"/>
            <w:vAlign w:val="top"/>
          </w:tcPr>
          <w:p>
            <w:pPr>
              <w:pStyle w:val="Style18"/>
              <w:keepNext w:val="0"/>
              <w:keepLines w:val="0"/>
              <w:widowControl w:val="0"/>
              <w:shd w:val="clear" w:color="auto" w:fill="auto"/>
              <w:spacing w:before="0" w:after="0" w:line="240" w:lineRule="auto"/>
              <w:ind w:left="0" w:right="0" w:firstLine="0"/>
              <w:jc w:val="center"/>
            </w:pPr>
            <w:r>
              <w:rPr>
                <w:rStyle w:val="CharStyle19"/>
              </w:rPr>
              <w:t xml:space="preserve">CONSTATATION :</w:t>
            </w:r>
          </w:p>
        </w:tc>
        <w:tc>
          <w:tcPr>
            <w:tcBorders>
              <w:top w:val="single" w:sz="4"/>
              <w:bottom w:val="single" w:sz="4"/>
              <w:right w:val="single" w:sz="4"/>
            </w:tcBorders>
            <w:shd w:val="clear" w:color="auto" w:fill="D9F3D0"/>
            <w:vAlign w:val="bottom"/>
          </w:tcPr>
          <w:p>
            <w:pPr>
              <w:pStyle w:val="Style18"/>
              <w:keepNext w:val="0"/>
              <w:keepLines w:val="0"/>
              <w:widowControl w:val="0"/>
              <w:shd w:val="clear" w:color="auto" w:fill="auto"/>
              <w:spacing w:before="0" w:after="0"/>
              <w:ind w:left="160" w:right="0" w:firstLine="0"/>
              <w:jc w:val="left"/>
            </w:pPr>
            <w:r>
              <w:rPr>
                <w:rStyle w:val="CharStyle19"/>
              </w:rPr>
              <w:t xml:space="preserve">Les confinements obligatoires imposés par le gouvernement étaient la principale cause des fermetures temporaires et permanentes d'entreprises, mais d'autres facteurs ont également contribué.</w:t>
            </w:r>
          </w:p>
        </w:tc>
      </w:tr>
    </w:tbl>
    <w:p>
      <w:pPr>
        <w:widowControl w:val="0"/>
        <w:spacing w:after="259" w:line="1" w:lineRule="exact"/>
      </w:pPr>
    </w:p>
    <w:p>
      <w:pPr>
        <w:pStyle w:val="Style24"/>
        <w:keepNext w:val="0"/>
        <w:keepLines w:val="0"/>
        <w:widowControl w:val="0"/>
        <w:shd w:val="clear" w:color="auto" w:fill="auto"/>
        <w:spacing w:before="0"/>
        <w:ind w:left="140" w:right="0" w:firstLine="720"/>
        <w:jc w:val="left"/>
      </w:pPr>
      <w:r>
        <w:rPr>
          <w:rStyle w:val="CharStyle25"/>
        </w:rPr>
        <w:t xml:space="preserve">À la fin du mois d'août 2020, les données d'une enquête auprès de l'industrie montraient un nombre stupéfiant de 163 735 entreprises américaines fermées en raison de la pandémie, 60 % (97 966) de ces fermetures étant classées comme permanentes.</w:t>
        <w:footnoteReference w:id="46"/>
        <w:t xml:space="preserve"> Avoir près de 100 000 entreprises incapables de rouvrir pendant la phase de reprise représente une partie importante du paysage commercial américain. L'impact des fermetures d'entreprises variait d'un secteur à l'autre. Les secteurs de l'hôtellerie et de la restauration ont été particulièrement touchés. Selon un rapport de l’Association nationale des restaurants de décembre 2020, 17 % des restaurants du pays avaient fermé leurs portes à long terme ou de manière permanente.</w:t>
        <w:footnoteReference w:id="47"/>
        <w:t xml:space="preserve"> De même, le secteur de la vente au détail a connu des fermetures généralisées en raison de la chute du trafic piétonnier dans les magasins physiques en raison des confinements et du passage aux achats en ligne. </w:t>
        <w:footnoteReference w:id="48"/>
        <w:t xml:space="preserve">Ces fermetures ont eu des effets considérables sur l'emploi, les économies locales et l'environnement général des entreprises, ce qui a eu d'importantes conséquences à long terme.</w:t>
      </w:r>
    </w:p>
    <w:p>
      <w:pPr>
        <w:pStyle w:val="Style24"/>
        <w:keepNext w:val="0"/>
        <w:keepLines w:val="0"/>
        <w:widowControl w:val="0"/>
        <w:shd w:val="clear" w:color="auto" w:fill="auto"/>
        <w:spacing w:before="0" w:line="259" w:lineRule="auto"/>
        <w:ind w:left="140" w:right="0" w:firstLine="720"/>
        <w:jc w:val="left"/>
      </w:pPr>
      <w:r>
        <w:rPr>
          <w:rStyle w:val="CharStyle25"/>
        </w:rPr>
        <w:t xml:space="preserve">Alors que de nombreuses entreprises espéraient initialement rouvrir une fois les restrictions levées, plusieurs facteurs ont contribué à ce que de nombreuses fermetures deviennent permanentes.</w:t>
      </w:r>
    </w:p>
    <w:p>
      <w:pPr>
        <w:pStyle w:val="Style24"/>
        <w:keepNext w:val="0"/>
        <w:keepLines w:val="0"/>
        <w:widowControl w:val="0"/>
        <w:shd w:val="clear" w:color="auto" w:fill="auto"/>
        <w:spacing w:before="0"/>
        <w:ind w:left="140" w:right="0" w:firstLine="720"/>
        <w:jc w:val="left"/>
      </w:pPr>
      <w:r>
        <w:rPr>
          <w:rStyle w:val="CharStyle25"/>
        </w:rPr>
        <w:t xml:space="preserve">L’une des principales raisons des fermetures permanentes était la durée prolongée des confinements imposés par le gouvernement.</w:t>
        <w:footnoteReference w:id="49"/>
        <w:t xml:space="preserve"> Comme les entreprises ont été forcées de rester fermées pendant des mois, elles ont connu une forte baisse de leurs revenus, tandis que beaucoup devaient encore couvrir les coûts fixes tels que le loyer, les services publics et la paie. Selon le Bureau of Labor Statistics des États-Unis, en 2020, 80% des entreprises soumises à des mesures d'atténuation obligatoires du gouvernement ont dit aux employés de ne pas travailler ou ont réduit leurs heures de travail, contre 54% des entreprises qui n'ont pas été soumises à des mesures d'atténuation imposées par le gouvernement.</w:t>
        <w:footnoteReference w:id="50"/>
        <w:t xml:space="preserve"> En outre, selon l'enquête Small Business Pulse menée par le Bureau du recensement des États-Unis, 31% des petites entreprises ont déclaré que les mesures de distanciation sociale avaient considérablement réduit leurs revenus en 2020, ce qui a conduit beaucoup à des congédiements ou à des licenciements.</w:t>
        <w:footnoteReference w:id="51"/>
        <w:t xml:space="preserve"> Cette pression financière était particulièrement forte pour les PME, qui ne disposaient souvent pas des réserves de trésorerie nécessaires pour poursuivre leurs activités pendant une période prolongée sans revenu.</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L’incertitude entourant la pandémie a encore exacerbé la situation. En l'absence d'un calendrier clair pour l'assouplissement des restrictions ou le retour de la demande des consommateurs, de nombreux propriétaires d'entreprises ont été confrontés à des décisions difficiles quant à la poursuite de leurs activités ou à leur fermeture permanente. Le manque de clarté quant à la durée de la pandémie a rendu difficile pour les entreprises de planifier l’avenir ou d’obtenir des prêts pour rester à flot.</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Alors que les fermetures du gouvernement ont joué un rôle primordial dans la fermeture des entreprises, la pandémie a également provoqué un changement radical dans le comportement des consommateurs, avec des implications à long terme pour les entreprises qui sont restées ouvertes. Comme les gens sont restés à la maison pour minimiser leur exposition au virus, la demande pour certains biens et services a chuté, tandis que les achats en ligne, les services de livraison et le travail à distance ont gagné en popularité. Les magasins de brique et de mortier, les restaurants, les lieux de divertissement et les entreprises de services personnels tels que les salons et les gymnases ont souffert de l'assèchement de la circulation piétonnière. À la mi-2020, 75% des consommateurs américains ont essayé un nouveau comportement d'achat, comme l'achat auprès d'une marque ou d'un détaillant différent, en raison de la pandémie.</w:t>
        <w:footnoteReference w:id="52"/>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Bon nombre de ces changements de comportement devraient persister après la pandémie, laissant les entreprises qui dépendent d’interactions en personne – en particulier les petites entreprises locales – lutter pour s’adapter. L’accélération du commerce électronique a encore supplanté les modèles traditionnels de vente au détail, entraînant la fermeture permanente de nombreuses petites entreprises qui ne pouvaient pas concurrencer les grandes plateformes en ligne ou se permettre les investissements technologiques nécessaires pour se tourner vers les ventes numériques.</w:t>
        <w:footnoteReference w:id="53"/>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Alors que les gouvernements du monde entier ont mis en place des programmes de secours pour soutenir les entreprises pendant la pandémie, ces mesures étaient souvent insuffisantes pour éviter les fermetures permanentes. Aux États-Unis, des programmes comme PPP offraient une aide financière essentielle aux petites entreprises, leur permettant de conserver leurs employés et de couvrir les coûts opérationnels. Toutefois, de nombreuses entreprises ont estimé que l’aide était insuffisante, d’autant plus que la pandémie a persisté plus longtemps que prévu. En outre, toutes les entreprises n’ont pas été en mesure d’accéder à un soutien financier en raison d’obstacles bureaucratiques, de critères d’éligibilité ou de la rapidité avec laquelle les fonds ont été distribués.</w:t>
        <w:footnoteReference w:id="54"/>
        <w:t xml:space="preserve">Selon une compilation d’enquêtes gouvernementales, 65 % des propriétaires d’entreprises «non employeurs» (très petites) ont déclaré qu’ils n’avaient pas demandé de PPP parce qu’ils supposaient qu’ils ne seraient pas admissibles ou que le processus était trop déroutant.</w:t>
        <w:footnoteReference w:id="55"/>
      </w:r>
      <w:r>
        <w:br w:type="page"/>
      </w:r>
    </w:p>
    <w:p>
      <w:pPr>
        <w:widowControl w:val="0"/>
        <w:jc w:val="center"/>
        <w:rPr>
          <w:sz w:val="2"/>
        </w:rPr>
      </w:pPr>
      <w:r>
        <w:drawing>
          <wp:inline>
            <wp:extent cx="5986145" cy="3877310"/>
            <wp:docPr id="5" name="Picutre 5"/>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pic:blipFill>
                  <pic:spPr>
                    <a:xfrm>
                      <a:ext cx="5986145" cy="3877310"/>
                    </a:xfrm>
                    <a:prstGeom prst="rect"/>
                  </pic:spPr>
                </pic:pic>
              </a:graphicData>
            </a:graphic>
          </wp:inline>
        </w:drawing>
      </w:r>
    </w:p>
    <w:p>
      <w:pPr>
        <w:widowControl w:val="0"/>
        <w:spacing w:after="259" w:line="1" w:lineRule="exact"/>
      </w:pPr>
    </w:p>
    <w:p>
      <w:pPr>
        <w:pStyle w:val="Style24"/>
        <w:keepNext w:val="0"/>
        <w:keepLines w:val="0"/>
        <w:widowControl w:val="0"/>
        <w:shd w:val="clear" w:color="auto" w:fill="auto"/>
        <w:spacing w:before="0" w:after="320" w:line="259" w:lineRule="auto"/>
        <w:ind w:left="140" w:right="0" w:firstLine="720"/>
        <w:jc w:val="left"/>
      </w:pPr>
      <w:r>
        <w:rPr>
          <w:rStyle w:val="CharStyle25"/>
        </w:rPr>
        <w:t xml:space="preserve">Les défis liés à l'obtention d'une aide financière, combinés aux dépenses courantes et aux revenus futurs incertains, ont conduit de nombreux propriétaires d'entreprises à prendre la décision difficile de fermer définitivement.</w:t>
      </w:r>
    </w:p>
    <w:p>
      <w:pPr>
        <w:pStyle w:val="Style24"/>
        <w:keepNext w:val="0"/>
        <w:keepLines w:val="0"/>
        <w:widowControl w:val="0"/>
        <w:shd w:val="clear" w:color="auto" w:fill="auto"/>
        <w:spacing w:before="0" w:after="400" w:line="259" w:lineRule="auto"/>
        <w:ind w:left="1580" w:right="0" w:hanging="1440"/>
        <w:jc w:val="left"/>
      </w:pPr>
      <w:r>
        <w:rPr>
          <w:rStyle w:val="CharStyle25"/>
        </w:rPr>
        <w:t xml:space="preserve">CONSTATATION : Les fermetures d'entreprises ont eu une incidence disproportionnée sur les régions rurales et à faible revenu et ont entraîné des changements à long terme dans ces régions.</w:t>
      </w:r>
    </w:p>
    <w:p>
      <w:pPr>
        <w:pStyle w:val="Style24"/>
        <w:keepNext w:val="0"/>
        <w:keepLines w:val="0"/>
        <w:widowControl w:val="0"/>
        <w:shd w:val="clear" w:color="auto" w:fill="auto"/>
        <w:spacing w:before="0"/>
        <w:ind w:left="140" w:right="0" w:firstLine="720"/>
        <w:jc w:val="left"/>
      </w:pPr>
      <w:r>
        <w:rPr>
          <w:rStyle w:val="CharStyle25"/>
        </w:rPr>
        <w:t xml:space="preserve">Bien que toutes les régions aient été confrontées à des défis économiques, l'impact n'a pas été réparti uniformément. Les fermetures d’entreprises ont touché de manière disproportionnée les zones rurales et à faible revenu, exacerbant les disparités socio-économiques existantes et entraînant des conséquences durables.</w:t>
      </w:r>
    </w:p>
    <w:p>
      <w:pPr>
        <w:pStyle w:val="Style24"/>
        <w:keepNext w:val="0"/>
        <w:keepLines w:val="0"/>
        <w:widowControl w:val="0"/>
        <w:shd w:val="clear" w:color="auto" w:fill="auto"/>
        <w:spacing w:before="0"/>
        <w:ind w:left="140" w:right="0" w:firstLine="720"/>
        <w:jc w:val="left"/>
      </w:pPr>
      <w:r>
        <w:rPr>
          <w:rStyle w:val="CharStyle25"/>
        </w:rPr>
        <w:t xml:space="preserve">Bien que les entreprises des zones urbaines et aisées aient également souffert pendant la pandémie, les communautés rurales et à faible revenu ont été confrontées à des vulnérabilités uniques qui les ont rendues plus vulnérables à une détresse économique prolongée. L’accès limité aux capitaux, la dépendance à l’égard des petites entreprises et le nombre réduit d’autres possibilités d’emploi ont amplifié les effets négatifs des fermetures liées à la COVID-19 dans ces régions.</w:t>
      </w:r>
    </w:p>
    <w:p>
      <w:pPr>
        <w:pStyle w:val="Style24"/>
        <w:keepNext w:val="0"/>
        <w:keepLines w:val="0"/>
        <w:widowControl w:val="0"/>
        <w:shd w:val="clear" w:color="auto" w:fill="auto"/>
        <w:spacing w:before="0" w:line="264" w:lineRule="auto"/>
        <w:ind w:left="140" w:right="0" w:firstLine="720"/>
        <w:jc w:val="left"/>
      </w:pPr>
      <w:r>
        <w:rPr>
          <w:rStyle w:val="CharStyle25"/>
        </w:rPr>
        <w:t xml:space="preserve">Selon le Conseil de la Réserve fédérale, environ 400 000 entreprises devraient fermer définitivement au cours de la première année de la pandémie aux États-Unis, principalement en raison du choc économique de la COVID-19.</w:t>
        <w:footnoteReference w:id="56"/>
        <w:t xml:space="preserve"> Bien que les entreprises de tous les secteurs et de toutes les régions géographiques aient été touchées, le fardeau a pesé de façon disproportionnée sur les petites entreprises et celles situées dans les zones rurales et à faible revenu, les entreprises des collectivités rurales et à faible revenu étant confrontées à des taux de fermeture plus élevés que leurs homologues urbaines.</w:t>
        <w:footnoteReference w:id="57"/>
        <w:t xml:space="preserve"> Une enquête menée par Main Street America a révélé qu'à la mi-2020, près de 7,5 millions de petites entreprises dans les zones rurales risquaient de fermer définitivement, avec environ 34% des propriétaires de petites entreprises dans ces zones prédisant qu'ils ne survivraient pas au-delà de l'année.</w:t>
        <w:footnoteReference w:id="58"/>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Les entreprises des zones rurales et à faible revenu dépendent souvent davantage de certains secteurs tels que l’agriculture, l’industrie manufacturière, le commerce de détail et les services, qui ont tous été durement touchés par la pandémie. Un rapport du National Bureau of Economic Research [ci-après le «NBER»] a constaté que les régions rurales et à faible revenu étaient touchées de manière disproportionnée par les fermetures dans les secteurs de l’hôtellerie, du commerce de détail et des services locaux, qui constituent l’épine dorsale de nombreuses économies locales. </w:t>
        <w:footnoteReference w:id="59"/>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59" w:lineRule="auto"/>
        <w:ind w:left="140" w:right="0" w:firstLine="720"/>
        <w:jc w:val="left"/>
      </w:pPr>
      <w:r>
        <w:rPr>
          <w:rStyle w:val="CharStyle25"/>
        </w:rPr>
        <w:t xml:space="preserve">La vulnérabilité accrue des zones rurales et à faible revenu aux fermetures d’entreprises pendant la pandémie peut être attribuée à plusieurs facteurs structurels et économiques.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L'un des défis les plus importants auxquels sont confrontées les entreprises des collectivités rurales et à faible revenu est l'accès limité aux ressources financières. Les petites entreprises de ces régions manquaient souvent de relations avec les grandes banques ou les institutions financières, ce qui rendait plus difficile l'obtention de prêts ou d'aides gouvernementales. Les données de SBA révèlent que les entreprises des zones urbaines plus riches étaient plus susceptibles de recevoir des prêts en PPP pendant la pandémie que celles des zones rurales et à faible revenu.</w:t>
        <w:footnoteReference w:id="60"/>
        <w:t xml:space="preserve"> Les comtés ayant les revenus médians les plus bas ont reçu moins de la moitié de l'aide par habitant par rapport aux comtés plus riches.</w:t>
        <w:footnoteReference w:id="61"/>
        <w:t xml:space="preserve"> Cette disparité était encore plus prononcée dans les zones rurales, où de nombreuses petites entreprises avaient du mal à accéder au processus de demande en raison du manque d'infrastructure numérique ou d'accès à des conseillers financiers.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Sans un accès suffisant à l'aide financière, de nombreuses petites entreprises de ces régions n'ont pas été en mesure de maintenir leurs activités pendant les fermetures prolongées. Par conséquent, les collectivités rurales et à faible revenu ont connu des taux plus élevés de fermetures d'entreprises, ce qui a encore ralenti leur reprise économique.</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after="280" w:line="264" w:lineRule="auto"/>
        <w:ind w:left="140" w:right="0" w:firstLine="720"/>
        <w:jc w:val="left"/>
      </w:pPr>
      <w:r>
        <w:rPr>
          <w:rStyle w:val="CharStyle25"/>
        </w:rPr>
        <w:t xml:space="preserve">Les communautés rurales et à faible revenu sont souvent plus dépendantes des petites entreprises locales pour fournir des emplois et des services essentiels. Contrairement aux zones urbaines aux économies diversifiées, ces communautés ont tendance à dépendre d'un nombre limité d'industries et d'entreprises. Les fermetures d'entreprises locales clés, telles que les épiceries, les restaurants et les installations de fabrication, ont eu un effet d'entraînement sur l'ensemble de la communauté.</w:t>
      </w:r>
    </w:p>
    <w:p>
      <w:pPr>
        <w:pStyle w:val="Style24"/>
        <w:keepNext w:val="0"/>
        <w:keepLines w:val="0"/>
        <w:widowControl w:val="0"/>
        <w:shd w:val="clear" w:color="auto" w:fill="auto"/>
        <w:spacing w:before="0" w:after="280"/>
        <w:ind w:left="140" w:right="0" w:firstLine="720"/>
        <w:jc w:val="left"/>
      </w:pPr>
      <w:r>
        <w:rPr>
          <w:rStyle w:val="CharStyle25"/>
        </w:rPr>
        <w:t xml:space="preserve">De nombreuses zones rurales et à faible revenu affichaient des taux de chômage plus élevés avant même la pandémie. La pandémie a exacerbé ces tendances, les comtés ruraux enregistrant certaines des baisses d’emploi les plus marquées. Comme les entreprises locales ont fermé définitivement, la perte d'emplois a frappé particulièrement durement ces communautés, car il y avait moins d'options d'emploi alternatives. Alors que les zones urbaines ont été beaucoup plus rapides à retrouver des emplois, les zones rurales ont retrouvé des emplois à leur niveau d’avant la pandémie au cours de la dernière année. </w:t>
        <w:footnoteReference w:id="62"/>
      </w:r>
    </w:p>
    <w:p>
      <w:pPr>
        <w:widowControl w:val="0"/>
        <w:jc w:val="center"/>
        <w:rPr>
          <w:sz w:val="2"/>
        </w:rPr>
      </w:pPr>
      <w:r>
        <w:drawing>
          <wp:inline>
            <wp:extent cx="4304030" cy="3938270"/>
            <wp:docPr id="6" name="Picutre 6"/>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a:stretch/>
                  </pic:blipFill>
                  <pic:spPr>
                    <a:xfrm>
                      <a:ext cx="4304030" cy="3938270"/>
                    </a:xfrm>
                    <a:prstGeom prst="rect"/>
                  </pic:spPr>
                </pic:pic>
              </a:graphicData>
            </a:graphic>
          </wp:inline>
        </w:drawing>
      </w:r>
    </w:p>
    <w:p>
      <w:pPr>
        <w:widowControl w:val="0"/>
        <w:spacing w:after="279" w:line="1" w:lineRule="exact"/>
      </w:pPr>
    </w:p>
    <w:p>
      <w:pPr>
        <w:pStyle w:val="Style24"/>
        <w:keepNext w:val="0"/>
        <w:keepLines w:val="0"/>
        <w:widowControl w:val="0"/>
        <w:shd w:val="clear" w:color="auto" w:fill="auto"/>
        <w:spacing w:before="0" w:after="280"/>
        <w:ind w:left="140" w:right="0" w:firstLine="720"/>
        <w:jc w:val="left"/>
      </w:pPr>
      <w:r>
        <w:rPr>
          <w:rStyle w:val="CharStyle25"/>
        </w:rPr>
        <w:t xml:space="preserve">La fermeture des entreprises locales a également affecté l'accès des résidents aux services essentiels tels que les soins de santé, l'épicerie et la garde d'enfants. La fermeture des épiceries rurales et des points de vente au détail a laissé de nombreux résidents à faible revenu confrontés à des «déserts alimentaires» et à des temps de déplacement plus longs pour obtenir des produits de première nécessité.</w:t>
        <w:footnoteReference w:id="63"/>
        <w:t xml:space="preserve"> Cela a encore aggravé les difficultés économiques vécues dans ces communautés.</w:t>
      </w:r>
    </w:p>
    <w:p>
      <w:pPr>
        <w:pStyle w:val="Style24"/>
        <w:keepNext w:val="0"/>
        <w:keepLines w:val="0"/>
        <w:widowControl w:val="0"/>
        <w:shd w:val="clear" w:color="auto" w:fill="auto"/>
        <w:spacing w:before="0"/>
        <w:ind w:left="140" w:right="0" w:firstLine="720"/>
        <w:jc w:val="left"/>
      </w:pPr>
      <w:r>
        <w:rPr>
          <w:rStyle w:val="CharStyle25"/>
        </w:rPr>
        <w:t xml:space="preserve">La fracture numérique, caractérisée par un accès inégal à l’internet à haut débit et à la technologie, a aggravé l’impact de la pandémie sur les entreprises des zones rurales et à faible revenu. Les confinements obligeant à passer rapidement aux achats en ligne, au travail à distance et au commerce électronique, de nombreuses petites entreprises de ces communautés ont eu du mal à s'adapter. Environ 22% des Américains ruraux n'avaient pas accès à l'Internet haut débit en 2020, contre seulement 6% dans les zones urbaines.</w:t>
        <w:footnoteReference w:id="64"/>
        <w:t xml:space="preserve"> En raison de ce manque d’infrastructures numériques, il a été difficile pour les entreprises des zones rurales de se tourner vers le commerce électronique ou d’offrir des services à distance, ce qui les a désavantagées sur le plan de la concurrence. Les entreprises à faible revenu, même dans les zones urbaines, ont également été confrontées à des défis similaires en raison des coûts associés à la modernisation de la technologie et des infrastructures.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Alors que les grandes entreprises et les entreprises urbaines ont pu passer rapidement aux plateformes en ligne, les entreprises des zones rurales manquaient souvent de ressources et d’expertise technique pour le faire. En conséquence, de nombreuses entreprises rurales et à faible revenu ont raté la hausse de la demande de commerce électronique survenue pendant la pandémie, ce qui a contribué à leur fermeture. Moins de 50 % des petites entreprises rurales ont une présence commerciale en ligne, ce qui réduit encore leur capacité à générer des revenus pendant la pandémie.</w:t>
        <w:footnoteReference w:id="65"/>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La fermeture d'entreprises dans les zones rurales et à faible revenu a creusé les inégalités économiques préexistantes. Bon nombre de ces régions ont connu une reprise économique plus lente que les zones urbaines plus riches, ce qui a encore creusé l'écart économique. Les zones rurales et à faible revenu ont connu une croissance plus lente au cours de la période de reprise post-pandémie par rapport aux zones urbaines.</w:t>
        <w:footnoteReference w:id="66"/>
        <w:t xml:space="preserve"> Selon le groupe pour l’innovation économique (ci-après le «GIE»), près de 50 % des comtés ruraux ont connu une reprise de l’emploi plus lente entre 2021 et 2023, et nombre d’entre eux continuent de connaître des taux de chômage plus élevés et des réouvertures d’entreprises plus lentes.</w:t>
        <w:footnoteReference w:id="67"/>
        <w:t xml:space="preserve"> Avec moins de possibilités d'emploi et la fermeture permanente des petites entreprises, les taux de pauvreté ont augmenté dans les zones rurales et à faible revenu.</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0" w:right="0" w:firstLine="720"/>
        <w:jc w:val="left"/>
      </w:pPr>
      <w:r>
        <w:rPr>
          <w:rStyle w:val="CharStyle25"/>
        </w:rPr>
        <w:t xml:space="preserve">Dans les communautés rurales et à faible revenu, les petites entreprises ne sont pas seulement des entités économiques; ils font partie intégrante du tissu social et culturel de la région. La perte de ces entreprises a eu des effets profonds sur la cohésion communautaire et l'identité locale. La fermeture d’entreprises locales – telles que des restaurants, des magasins et des centres communautaires – a diminué le sentiment d’appartenance à la communauté dans de nombreuses zones rurales et à faible revenu. Ces entreprises servaient souvent de lieux de rassemblement pour les résidents, et leur absence a laissé de nombreuses communautés se sentir plus isolées et fragmentées. Les fermetures de petites entreprises ont également réduit les recettes fiscales locales, entraînant des réductions dans les services publics tels que l'éducation, les soins de santé et l'entretien des infrastructures. </w:t>
        <w:footnoteReference w:id="68"/>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59" w:lineRule="auto"/>
        <w:ind w:left="140" w:right="0" w:firstLine="720"/>
        <w:jc w:val="left"/>
      </w:pPr>
      <w:r>
        <w:rPr>
          <w:rStyle w:val="CharStyle25"/>
        </w:rPr>
        <w:t xml:space="preserve">Bien que certaines collectivités rurales et à faible revenu aient commencé à se redresser, les effets à long terme des fermetures d'entreprises continuent de poser d'importants défis pour la revitalisation économique.</w:t>
      </w:r>
    </w:p>
    <w:p>
      <w:pPr>
        <w:pStyle w:val="Style24"/>
        <w:keepNext w:val="0"/>
        <w:keepLines w:val="0"/>
        <w:widowControl w:val="0"/>
        <w:shd w:val="clear" w:color="auto" w:fill="auto"/>
        <w:spacing w:before="0"/>
        <w:ind w:left="0" w:right="0" w:firstLine="0"/>
        <w:jc w:val="left"/>
      </w:pPr>
      <w:r>
        <w:rPr>
          <w:rStyle w:val="CharStyle25"/>
        </w:rPr>
        <w:t xml:space="preserve">En l'absence d'investissements solides dans les entreprises et les infrastructures locales, de nombreuses régions sont confrontées à une bataille difficile pour reconstruire leurs économies. Les économistes soulignent la nécessité d'investissements ciblés dans les zones rurales et à faible revenu pour soutenir la création d'entreprises, la formation professionnelle et le développement des infrastructures. Selon un rapport de la Harvard Business Review, la revitalisation de ces domaines nécessitera un soutien fédéral et étatique accru, y compris des subventions et des prêts pour les petites entreprises, une infrastructure numérique améliorée et des politiques qui encouragent l'entrepreneuriat dans les régions mal desservies. </w:t>
        <w:footnoteReference w:id="69"/>
      </w:r>
    </w:p>
    <w:p>
      <w:pPr>
        <w:pStyle w:val="Style24"/>
        <w:keepNext w:val="0"/>
        <w:keepLines w:val="0"/>
        <w:widowControl w:val="0"/>
        <w:shd w:val="clear" w:color="auto" w:fill="auto"/>
        <w:spacing w:before="0" w:after="320"/>
        <w:ind w:left="0" w:right="0" w:firstLine="740"/>
        <w:jc w:val="left"/>
      </w:pPr>
      <w:r>
        <w:rPr>
          <w:rStyle w:val="CharStyle25"/>
        </w:rPr>
        <w:t xml:space="preserve">La pandémie de COVID-19 a touché de manière disproportionnée les entreprises dans les zones rurales et à faible revenu, entraînant des taux plus élevés de fermetures permanentes et une détresse économique plus profonde. Ces communautés ont été confrontées à des défis uniques, notamment un accès limité aux ressources financières, une dépendance à l’égard des petites entreprises et un manque d’infrastructures numériques, qui ont tous exacerbé les effets de la pandémie. Les disparités économiques créées ou aggravées par ces fermetures continuent de façonner le processus de reprise, laissant les zones rurales et à faible revenu lutter pour retrouver leur assise économique. Pour relever ces défis, des investissements ciblés, un accès équitable aux ressources financières et des améliorations de l'infrastructure numérique sont essentiels.</w:t>
      </w:r>
    </w:p>
    <w:p>
      <w:pPr>
        <w:pStyle w:val="Style24"/>
        <w:keepNext w:val="0"/>
        <w:keepLines w:val="0"/>
        <w:widowControl w:val="0"/>
        <w:shd w:val="clear" w:color="auto" w:fill="auto"/>
        <w:spacing w:before="0" w:after="320" w:line="264" w:lineRule="auto"/>
        <w:ind w:left="1460" w:right="0" w:hanging="1460"/>
        <w:jc w:val="left"/>
      </w:pPr>
      <w:r>
        <w:rPr>
          <w:rStyle w:val="CharStyle25"/>
        </w:rPr>
        <w:t xml:space="preserve">CONSTATATION : Le manque de diversité de la chaîne d'approvisionnement a exacerbé la reprise économique et commerciale.</w:t>
      </w:r>
    </w:p>
    <w:p>
      <w:pPr>
        <w:pStyle w:val="Style24"/>
        <w:keepNext w:val="0"/>
        <w:keepLines w:val="0"/>
        <w:widowControl w:val="0"/>
        <w:shd w:val="clear" w:color="auto" w:fill="auto"/>
        <w:spacing w:before="0"/>
        <w:ind w:left="0" w:right="0" w:firstLine="740"/>
        <w:jc w:val="left"/>
      </w:pPr>
      <w:r>
        <w:rPr>
          <w:rStyle w:val="CharStyle25"/>
        </w:rPr>
        <w:t xml:space="preserve">La pandémie de COVID-19 a mis en évidence des vulnérabilités critiques dans les chaînes d’approvisionnement mondiales, perturbant les industries et les économies du monde entier. Aux États-Unis, la pandémie a mis en évidence les risques de chaînes d'approvisionnement très concentrées et peu diversifiées, entraînant une instabilité économique prolongée, des pénuries de biens essentiels et des fermetures d'entreprises généralisées. Les données à l'appui sont utilisées pour illustrer comment ces défaillances de la chaîne d'approvisionnement ont entraîné des conséquences durables pour les entreprises américaines et l'économie en général.</w:t>
      </w:r>
    </w:p>
    <w:p>
      <w:pPr>
        <w:pStyle w:val="Style24"/>
        <w:keepNext w:val="0"/>
        <w:keepLines w:val="0"/>
        <w:widowControl w:val="0"/>
        <w:shd w:val="clear" w:color="auto" w:fill="auto"/>
        <w:spacing w:before="0"/>
        <w:ind w:left="0" w:right="0" w:firstLine="740"/>
        <w:jc w:val="left"/>
      </w:pPr>
      <w:r>
        <w:rPr>
          <w:rStyle w:val="CharStyle25"/>
        </w:rPr>
        <w:t xml:space="preserve">Avant la pandémie, les chaînes d'approvisionnement mondiales étaient structurées pour l'efficacité, en mettant l'accent sur la minimisation des coûts, la maximisation des marges bénéficiaires et la gestion des stocks juste à temps. Cependant, cet accent mis sur l'efficacité a laissé de nombreuses industries, en particulier aux États-Unis, vulnérables aux perturbations. Le manque de diversité géographique et de fournisseurs, la dépendance excessive à l’égard d’une seule région ou d’un seul pays et les réserves d’inventaire limitées ont créé des systèmes fragiles qui n’ont pas pu résister au choc de la pandémie.</w:t>
      </w:r>
    </w:p>
    <w:p>
      <w:pPr>
        <w:pStyle w:val="Style24"/>
        <w:keepNext w:val="0"/>
        <w:keepLines w:val="0"/>
        <w:widowControl w:val="0"/>
        <w:shd w:val="clear" w:color="auto" w:fill="auto"/>
        <w:spacing w:before="0"/>
        <w:ind w:left="0" w:right="0" w:firstLine="740"/>
        <w:jc w:val="left"/>
      </w:pPr>
      <w:r>
        <w:rPr>
          <w:rStyle w:val="CharStyle25"/>
        </w:rPr>
        <w:t xml:space="preserve">Certains secteurs aux États-Unis étaient particulièrement tributaires de chaînes d’approvisionnement concentrées, ce qui a contribué de manière significative aux perturbations économiques pendant la pandémie. La pandémie a mis en évidence la dépendance des États-Unis à l’égard d’un petit nombre de pays, en particulier la Chine et l’Inde, pour les fournitures médicales essentielles et les produits pharmaceutiques. Selon la FDA, environ 72% des ingrédients pharmaceutiques actifs utilisés dans la fabrication de médicaments aux États-Unis proviennent d'outre-mer, principalement de Chine et d'Inde.</w:t>
        <w:footnoteReference w:id="70"/>
        <w:t xml:space="preserve"> Lorsque ces pays ont imposé des restrictions à l'exportation, les États-Unis ont fait face à de graves pénuries d'EPI, de ventilateurs et d'autres fournitures médicales essentielles. </w:t>
        <w:footnoteReference w:id="71"/>
      </w:r>
    </w:p>
    <w:p>
      <w:pPr>
        <w:pStyle w:val="Style24"/>
        <w:keepNext w:val="0"/>
        <w:keepLines w:val="0"/>
        <w:widowControl w:val="0"/>
        <w:shd w:val="clear" w:color="auto" w:fill="auto"/>
        <w:spacing w:before="0"/>
        <w:ind w:left="0" w:right="0" w:firstLine="780"/>
        <w:jc w:val="left"/>
      </w:pPr>
      <w:r>
        <w:rPr>
          <w:rStyle w:val="CharStyle25"/>
        </w:rPr>
        <w:t xml:space="preserve">De même, les industries de l'automobile et de l'électronique ont connu de graves perturbations de la chaîne d'approvisionnement en raison de leur forte dépendance à l'égard de composants provenant d'un nombre limité de régions. La pénurie de semi-conducteurs, qui a commencé en 2020 et s’est poursuivie en 2022, a gravement touché l’industrie automobile.</w:t>
        <w:footnoteReference w:id="72"/>
        <w:t xml:space="preserve"> La production automobile américaine a diminué de 1,3 million de véhicules en 2021 en raison de pénuries de semi-conducteurs, entraînant des milliards de pertes de revenus et des suppressions d'emplois dans l'industrie. </w:t>
        <w:footnoteReference w:id="73"/>
      </w:r>
    </w:p>
    <w:p>
      <w:pPr>
        <w:pStyle w:val="Style24"/>
        <w:keepNext w:val="0"/>
        <w:keepLines w:val="0"/>
        <w:widowControl w:val="0"/>
        <w:shd w:val="clear" w:color="auto" w:fill="auto"/>
        <w:spacing w:before="0"/>
        <w:ind w:left="0" w:right="0" w:firstLine="780"/>
        <w:jc w:val="left"/>
      </w:pPr>
      <w:r>
        <w:rPr>
          <w:rStyle w:val="CharStyle25"/>
        </w:rPr>
        <w:t xml:space="preserve">La pandémie de COVID-19 a rapidement mis en évidence la fragilité de ces chaînes d’approvisionnement concentrées, provoquant des perturbations généralisées de la production et de la distribution. Les usines des principales régions manufacturières ont été forcées de fermer, les réseaux de transport ont été perturbés et des goulets d'étranglement logistiques sont apparus, entraînant des pénuries et des retards dans un large éventail d'industries.</w:t>
      </w:r>
    </w:p>
    <w:p>
      <w:pPr>
        <w:pStyle w:val="Style24"/>
        <w:keepNext w:val="0"/>
        <w:keepLines w:val="0"/>
        <w:widowControl w:val="0"/>
        <w:shd w:val="clear" w:color="auto" w:fill="auto"/>
        <w:spacing w:before="0"/>
        <w:ind w:left="0" w:right="0" w:firstLine="780"/>
        <w:jc w:val="left"/>
      </w:pPr>
      <w:r>
        <w:rPr>
          <w:rStyle w:val="CharStyle25"/>
        </w:rPr>
        <w:t xml:space="preserve">La première vague de COVID-19 a contraint les usines chinoises, qui fabriquent près de 30 % des biens mondiaux selon la Banque mondiale, à fermer ou à réduire leur production.</w:t>
        <w:footnoteReference w:id="74"/>
        <w:t xml:space="preserve"> Cela a provoqué des perturbations immédiates dans le flux mondial de marchandises. Les entreprises qui dépendaient fortement des fournisseurs chinois pour les composants, y compris les industries de la technologie, de l'habillement et des biens de consommation, ont subi d'importants retards de production. L'Institute for Supply Management a rapporté en mars 2020 que près de 75 % des entreprises américaines avaient connu des perturbations de la chaîne d'approvisionnement en raison de la pandémie, plus de la moitié de ces entreprises étant confrontées à des retards opérationnels de plusieurs semaines ou plus. </w:t>
        <w:footnoteReference w:id="75"/>
      </w:r>
    </w:p>
    <w:p>
      <w:pPr>
        <w:pStyle w:val="Style24"/>
        <w:keepNext w:val="0"/>
        <w:keepLines w:val="0"/>
        <w:widowControl w:val="0"/>
        <w:shd w:val="clear" w:color="auto" w:fill="auto"/>
        <w:spacing w:before="0"/>
        <w:ind w:left="0" w:right="0" w:firstLine="780"/>
        <w:jc w:val="left"/>
      </w:pPr>
      <w:r>
        <w:rPr>
          <w:rStyle w:val="CharStyle25"/>
        </w:rPr>
        <w:t xml:space="preserve">La pandémie a provoqué des perturbations généralisées des réseaux mondiaux de transport maritime et de transport, exacerbant encore les défis de la chaîne d’approvisionnement. Les fermetures de ports, la pénurie de conteneurs maritimes et la réduction de la capacité de fret aérien et maritime ont entraîné des retards massifs dans la circulation des marchandises. À la mi-2021, le coût de l'expédition d'un conteneur de la Chine aux États-Unis avait augmenté de plus de 400 pour cent, entraînant une augmentation des coûts pour les entreprises et les consommateurs.</w:t>
        <w:footnoteReference w:id="76"/>
        <w:t xml:space="preserve"> Ces retards ont entraîné des pénuries de stocks pour de nombreuses entreprises, ce qui a forcé bon nombre d'entre elles à fermer ou à réduire leurs activités en raison d'un manque de produits disponibles.</w:t>
      </w:r>
    </w:p>
    <w:p>
      <w:pPr>
        <w:pStyle w:val="Style24"/>
        <w:keepNext w:val="0"/>
        <w:keepLines w:val="0"/>
        <w:widowControl w:val="0"/>
        <w:shd w:val="clear" w:color="auto" w:fill="auto"/>
        <w:spacing w:before="0" w:line="264" w:lineRule="auto"/>
        <w:ind w:left="0" w:right="0" w:firstLine="780"/>
        <w:jc w:val="left"/>
      </w:pPr>
      <w:r>
        <w:rPr>
          <w:rStyle w:val="CharStyle25"/>
        </w:rPr>
        <w:t xml:space="preserve">La pandémie a révélé que de nombreuses entreprises américaines n'avaient pas suffisamment diversifié leurs chaînes d'approvisionnement, créant des risques systémiques pour leurs activités. La dépendance excessive à l'égard de quelques fournisseurs ou pays pour les composants critiques a conduit à une concentration des risques, car les perturbations dans une partie du monde ont eu des effets considérables sur des industries entières.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780"/>
        <w:jc w:val="left"/>
      </w:pPr>
      <w:r>
        <w:rPr>
          <w:rStyle w:val="CharStyle25"/>
        </w:rPr>
        <w:t xml:space="preserve">La concentration des chaînes d'approvisionnement dans quelques centres de fabrication à faible coût, en particulier en Asie, a rendu de nombreuses industries américaines vulnérables aux perturbations régionales. Lorsque la COVID-19 a fermé des usines et des ports dans ces régions, le manque de fournisseurs alternatifs ou de centres de production a rendu difficile pour les entreprises américaines de pivoter et de trouver de nouvelles sources de matériaux ou de composants. </w:t>
        <w:footnoteReference w:id="77"/>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80"/>
        <w:jc w:val="left"/>
      </w:pPr>
      <w:r>
        <w:rPr>
          <w:rStyle w:val="CharStyle25"/>
        </w:rPr>
        <w:t xml:space="preserve">De nombreuses entreprises ont également adopté des pratiques d'inventaire juste à temps, minimisant leurs stocks pour réduire les coûts. Bien que cette approche soit efficace dans des conditions stables, elle a laissé peu de marge de manœuvre aux entreprises lorsque la pandémie a perturbé les chaînes d’approvisionnement. Les stocks étant épuisés et les fournisseurs incapables de livrer à temps, de nombreuses entreprises ont été contraintes d'arrêter leurs activités. L'Association nationale des fabricants a constaté que plus de 78 pour cent des fabricants ont signalé d'importantes perturbations de la chaîne d'approvisionnement pendant la pandémie, plus de la moitié citant l'inventaire juste à temps comme facteur contributif.</w:t>
        <w:footnoteReference w:id="78"/>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80"/>
        <w:jc w:val="left"/>
      </w:pPr>
      <w:r>
        <w:rPr>
          <w:rStyle w:val="CharStyle25"/>
        </w:rPr>
        <w:t xml:space="preserve">L’incapacité à obtenir les intrants ou les produits nécessaires pendant la pandémie a entraîné de nombreuses fermetures d’entreprises, en particulier pour les PME. Le manque de chaînes d'approvisionnement diversifiées a amplifié les défis auxquels les entreprises étaient confrontées, alors qu'elles luttaient pour faire face aux pénuries de stocks, à la hausse des coûts et aux retards de production.</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80"/>
        <w:jc w:val="left"/>
      </w:pPr>
      <w:r>
        <w:rPr>
          <w:rStyle w:val="CharStyle25"/>
        </w:rPr>
        <w:t xml:space="preserve">Les PME étaient particulièrement vulnérables aux perturbations de la chaîne d’approvisionnement. Contrairement aux grandes multinationales avec des fournisseurs diversifiés ou les ressources financières pour surmonter la crise, de nombreuses PME avaient un pouvoir de négociation limité et moins d'options pour obtenir des fournisseurs alternatifs. Les PME ont représenté près de 60 % de toutes les fermetures d’entreprises au cours de la première année de la pandémie.</w:t>
        <w:footnoteReference w:id="79"/>
        <w:t xml:space="preserve"> Un sondage de Goldman Sachs a révélé que 88% des petites entreprises aux États-Unis ont signalé des perturbations de la chaîne d'approvisionnement, plus de 70% les citant comme une raison majeure de leurs difficultés financières.</w:t>
        <w:footnoteReference w:id="80"/>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80"/>
        <w:jc w:val="left"/>
      </w:pPr>
      <w:r>
        <w:rPr>
          <w:rStyle w:val="CharStyle25"/>
        </w:rPr>
        <w:t xml:space="preserve">Les perturbations de la chaîne d'approvisionnement ont frappé particulièrement durement les secteurs de la vente au détail et de la fabrication, entraînant la fermeture de milliers d'entreprises. Les détaillants, déjà aux prises avec une demande réduite des consommateurs, ont dû faire face à des défis supplémentaires en raison de pénuries de stocks. La National Retail Federation (NRF) a indiqué que plus de 8 700 magasins de détail avaient fermé leurs portes en 2020, en partie en raison de perturbations de la chaîne d'approvisionnement qui ont rendu impossible de répondre à la demande des clients.</w:t>
        <w:footnoteReference w:id="81"/>
        <w:t xml:space="preserve"> Le secteur manufacturier a également connu d'importantes fermetures, le Bureau du recensement des États-Unis signalant que plus de 65 % des fabricants américains ont signalé des perturbations de la chaîne d'approvisionnement à la mi-2021. </w:t>
        <w:footnoteReference w:id="82"/>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Les perturbations de la chaîne d’approvisionnement ont également entraîné une hausse des coûts des matières premières et des produits finis, ce qui a encore réduit les marges bénéficiaires des entreprises. À la fin de 2021, les prix de matériaux tels que le bois d'œuvre, l'acier et les plastiques avaient bondi de 20 à 40 % en raison de pénuries d'approvisionnement, selon l'indice des prix à la production (IPP).</w:t>
        <w:footnoteReference w:id="83"/>
        <w:t xml:space="preserve"> De nombreuses entreprises n'ont pas été en mesure d'absorber ces coûts et les ont répercutés sur les consommateurs, réduisant ainsi la demande et exacerbant la pression financière sur les entreprises déjà aux prises avec des perturbations de la chaîne d'approvisionnement.</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L'incapacité à diversifier les chaînes d'approvisionnement avant la pandémie a non seulement prolongé les dommages économiques immédiats, mais a également accru les vulnérabilités à long terme des entreprises américaines. Même si la pandémie s’est atténuée, les perturbations de la chaîne d’approvisionnement ont continué de causer des tensions financières et des fermetures d’entreprises.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L’un des exemples les plus significatifs de perturbations persistantes de la chaîne d’approvisionnement est la pénurie mondiale de semi-conducteurs, qui a continué d’affecter les secteurs de l’automobile, de l’électronique et des biens de consommation jusqu’en 2022 et 2023. Le département du Commerce des États-Unis a estimé que la pénurie avait coûté 240 milliards de dollars à l'économie américaine rien qu'en 2021, les principaux constructeurs automobiles ayant déclaré des milliards de pertes de revenus en raison de la réduction de la production.</w:t>
        <w:footnoteReference w:id="84"/>
        <w:t xml:space="preserve"> Sans une chaîne d'approvisionnement diversifiée en semi-conducteurs, les entreprises américaines restent vulnérables aux perturbations futures de la production de puces, d'autant plus que la demande de semi-conducteurs continue d'augmenter avec la croissance des véhicules électriques et des technologies 5G.</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En réponse à ces défis, les décideurs politiques et les chefs d'entreprise ont appelé à une plus grande diversification de la chaîne d'approvisionnement afin d'atténuer les risques futurs. Cependant, la reconstruction et la diversification des chaînes d'approvisionnement sont un processus à long terme, et de nombreuses entreprises américaines continuent de faire face à des vulnérabilités découlant de l'absence de réseaux d'approvisionnement diversifiés.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pandémie de COVID-19 a révélé la fragilité des chaînes d’approvisionnement mondiales et les dangers d’une dépendance excessive à l’égard de fournisseurs et de régions concentrés. Aux États-Unis, l’absence de chaînes d’approvisionnement diversifiées a exacerbé l’impact économique de la pandémie, entraînant des fermetures généralisées d’entreprises, en particulier parmi les petites et moyennes entreprises. Les perturbations de la chaîne d'approvisionnement ont non seulement accru la vulnérabilité économique immédiate, mais ont également étendu les risques à long terme auxquels sont confrontées les entreprises américaines. Pour renforcer la résilience face aux crises futures, il est essentiel que les entreprises américaines investissent dans la diversification de leurs chaînes d'approvisionnement, l'expansion des capacités de fabrication nationales et la réduction de la dépendance à l'égard de sources uniques d'intrants critiques.</w:t>
      </w:r>
    </w:p>
    <w:p>
      <w:pPr>
        <w:pStyle w:val="Style24"/>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725" w:val="left"/>
        </w:tabs>
        <w:spacing w:before="0"/>
        <w:ind w:left="0" w:right="0" w:firstLine="0"/>
        <w:jc w:val="left"/>
      </w:pPr>
      <w:r>
        <w:rPr>
          <w:rStyle w:val="CharStyle25"/>
        </w:rPr>
        <w:t xml:space="preserve">L’impact de la pandémie de COVID-19 sur les travailleurs américains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pandémie de COVID-19 a eu un impact profond sur le marché du travail américain. La propagation rapide du virus a entraîné des confinements généralisés, des mesures de distanciation sociale et un arrêt soudain de l’activité économique. En conséquence, les taux de chômage aux États-Unis ont bondi à des niveaux supérieurs à la Grande Récession de 2007-09 et n'ont pas été observés depuis la Grande Dépression de 1929-1939. </w:t>
        <w:footnoteReference w:id="85"/>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flambée du chômage pendant la pandémie a été largement alimentée par des confinements massifs et la fermeture brutale d’entreprises qui en a résulté dans tout le pays. Les industries qui dépendent fortement de l'interaction physique, telles que l'hôtellerie, la vente au détail et les voyages, ont été particulièrement touchées. Alors que les gouvernements des États et des collectivités locales imposaient des confinements et des mesures de distanciation sociale pour freiner la propagation du virus, de nombreuses entreprises ont été contraintes de fermer ou d'opérer à une capacité considérablement réduite, entraînant des licenciements massifs et des congédiements.</w:t>
        <w:footnoteReference w:id="86"/>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En outre, l’incertitude entourant la durée de la pandémie et son incidence économique a conduit de nombreuses entreprises à mettre en œuvre des gels d’embauche et à réduire leur main-d’œuvre par mesure de précaution. En outre, les perturbations de la chaîne d’approvisionnement causées par la nature mondiale de la pandémie ont également contribué à des pertes d’emplois, en particulier dans l’industrie manufacturière et d’autres industries</w:t>
        <w:softHyphen/>
        <w:t xml:space="preserve">dépendantes des exportations.</w:t>
        <w:footnoteReference w:id="87"/>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59" w:lineRule="auto"/>
        <w:ind w:left="0" w:right="0" w:firstLine="740"/>
        <w:jc w:val="left"/>
      </w:pPr>
      <w:r>
        <w:rPr>
          <w:rStyle w:val="CharStyle25"/>
        </w:rPr>
        <w:t xml:space="preserve">Avant d'analyser le chômage pendant la pandémie plus en détail, une brève discussion des actions du gouvernement fédéral visant à réduire le chômage est nécessaire.</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En réponse aux répercussions économiques sans précédent de la pandémie, le gouvernement des États-Unis a mis en œuvre une série de mesures d'aide économique pour soutenir les travailleurs et les entreprises. Le plus important d'entre eux était la loi CARES de 2,2 billions de dollars</w:t>
        <w:footnoteReference w:id="88"/>
        <w:t xml:space="preserve"> adoptée en mars 2020 et modifiée à plusieurs reprises. Les dispositions suivantes de la loi CARES ont un lien avec la réduction du chômage.</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0"/>
        <w:jc w:val="left"/>
      </w:pPr>
      <w:r>
        <w:rPr>
          <w:rStyle w:val="CharStyle25"/>
          <w:u w:val="single"/>
        </w:rPr>
        <w:t xml:space="preserve">Trois dispositions visant à améliorer les prestations de chômage</w:t>
      </w:r>
      <w:r>
        <w:rPr>
          <w:rStyle w:val="CharStyle25"/>
        </w:rPr>
        <w:footnoteReference w:id="89"/>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Premièrement, le FPUC a versé 600 $ de plus par semaine aux personnes qui recevaient des prestations d'assurance-chômage de mars à juillet 2020.</w:t>
        <w:footnoteReference w:id="90"/>
        <w:t xml:space="preserve"> Ce montant a ensuite été ramené à 300 dollars par semaine lors de prolongations ultérieures, à condition que l’État bénéficiaire ait accepté certaines conditions. Ensuite, PUA a fourni des prestations à ceux qui ne sont généralement pas admissibles au chômage régulier, tels que les travailleurs</w:t>
        <w:softHyphen/>
        <w:t xml:space="preserve">indépendants, les pigistes et les travailleurs à la demande. </w:t>
        <w:footnoteReference w:id="91"/>
        <w:t xml:space="preserve">Le PEUC</w:t>
        <w:footnoteReference w:id="92"/>
        <w:t xml:space="preserve"> a prolongé les prestations de chômage de 13 semaines au-delà de la durée habituelle pour ceux qui avaient épuisé les prestations de chômage régulières de l'État.</w:t>
      </w:r>
    </w:p>
    <w:p>
      <w:pPr>
        <w:pStyle w:val="Style24"/>
        <w:keepNext w:val="0"/>
        <w:keepLines w:val="0"/>
        <w:widowControl w:val="0"/>
        <w:shd w:val="clear" w:color="auto" w:fill="auto"/>
        <w:spacing w:before="0"/>
        <w:ind w:left="0" w:right="0" w:firstLine="0"/>
        <w:jc w:val="left"/>
      </w:pPr>
      <w:r>
        <w:rPr>
          <w:rStyle w:val="CharStyle25"/>
        </w:rPr>
        <w:t xml:space="preserve">Paiements directs aux ménages</w:t>
      </w:r>
    </w:p>
    <w:p>
      <w:pPr>
        <w:pStyle w:val="Style24"/>
        <w:keepNext w:val="0"/>
        <w:keepLines w:val="0"/>
        <w:widowControl w:val="0"/>
        <w:shd w:val="clear" w:color="auto" w:fill="auto"/>
        <w:spacing w:before="0" w:line="264" w:lineRule="auto"/>
        <w:ind w:left="0" w:right="0" w:firstLine="740"/>
        <w:jc w:val="left"/>
      </w:pPr>
      <w:r>
        <w:rPr>
          <w:rStyle w:val="CharStyle25"/>
        </w:rPr>
        <w:t xml:space="preserve">La loi CARES comprenait également des paiements de relance directs aux particuliers et aux familles, la plupart des Américains recevant 1 200 dollars par adulte et 500 dollars par enfant. Ces paiements visaient à apporter une aide immédiate aux personnes touchées par la pandémie et à stimuler l’activité économique. Premier tour (mars 2020): la loi CARES prévoyait 1 200 $ par adulte admissible et 500 $ par enfant. </w:t>
        <w:footnoteReference w:id="93"/>
        <w:t xml:space="preserve">Deuxième tour (décembre 2020): la Loi de 2021 sur les crédits consolidés (LCR) prévoyait 600 $ par adulte admissible et 600 $ par enfant.</w:t>
        <w:footnoteReference w:id="94"/>
        <w:t xml:space="preserve"> Troisième ronde (mars 2021), l'ARPA a versé 1 400 $ par adulte admissible et 1 400 $ par enfant.</w:t>
        <w:footnoteReference w:id="95"/>
        <w:t xml:space="preserve"> Plus de 475 millions de paiements ont été effectués en vertu de la CARES Act, de la CAA et de l'ARPA, et le total de ces paiements dépasse 1,4 billion de dollars.</w:t>
        <w:footnoteReference w:id="96"/>
      </w:r>
    </w:p>
    <w:p>
      <w:pPr>
        <w:pStyle w:val="Style24"/>
        <w:keepNext w:val="0"/>
        <w:keepLines w:val="0"/>
        <w:widowControl w:val="0"/>
        <w:shd w:val="clear" w:color="auto" w:fill="auto"/>
        <w:spacing w:before="0"/>
        <w:ind w:left="0" w:right="0" w:firstLine="0"/>
        <w:jc w:val="left"/>
      </w:pPr>
      <w:r>
        <w:rPr>
          <w:rStyle w:val="CharStyle25"/>
        </w:rPr>
        <w:t xml:space="preserve">Programme de protection des chèques de paie</w:t>
        <w:footnoteReference w:id="97"/>
      </w:r>
    </w:p>
    <w:p>
      <w:pPr>
        <w:pStyle w:val="Style24"/>
        <w:keepNext w:val="0"/>
        <w:keepLines w:val="0"/>
        <w:widowControl w:val="0"/>
        <w:shd w:val="clear" w:color="auto" w:fill="auto"/>
        <w:spacing w:before="0"/>
        <w:ind w:left="0" w:right="0" w:firstLine="740"/>
        <w:jc w:val="left"/>
      </w:pPr>
      <w:r>
        <w:rPr>
          <w:rStyle w:val="CharStyle25"/>
        </w:rPr>
        <w:t xml:space="preserve">PPP a accordé des prêts remboursables aux petites entreprises pour les aider à couvrir les coûts salariaux et à éviter les licenciements. Ce programme profitait indirectement aux employés puisqu'il visait à aider les entreprises qui les employaient. Bien que le programme ait réussi à prévenir certaines pertes d'emplois, il a été critiqué pour être mal ciblé et pour les retards dans la distribution des fonds. Certaines entreprises, en particulier celles des communautés à faible revenu, ont eu du mal à accéder aux prêts PPP en raison de critères d'éligibilité complexes et d'obstacles bureaucratiques. Les PPP étaient également la cible de fraudes, de gaspillages et d'abus endémiques.</w:t>
      </w:r>
    </w:p>
    <w:p>
      <w:pPr>
        <w:pStyle w:val="Style24"/>
        <w:keepNext w:val="0"/>
        <w:keepLines w:val="0"/>
        <w:widowControl w:val="0"/>
        <w:shd w:val="clear" w:color="auto" w:fill="auto"/>
        <w:spacing w:before="0"/>
        <w:ind w:left="0" w:right="0" w:firstLine="0"/>
        <w:jc w:val="left"/>
      </w:pPr>
      <w:r>
        <w:rPr>
          <w:rStyle w:val="CharStyle25"/>
        </w:rPr>
        <w:t xml:space="preserve">Crédit de rétention d’employés [ci-après l’«ERC»]</w:t>
        <w:footnoteReference w:id="98"/>
      </w:r>
    </w:p>
    <w:p>
      <w:pPr>
        <w:pStyle w:val="Style24"/>
        <w:keepNext w:val="0"/>
        <w:keepLines w:val="0"/>
        <w:widowControl w:val="0"/>
        <w:shd w:val="clear" w:color="auto" w:fill="auto"/>
        <w:spacing w:before="0"/>
        <w:ind w:left="0" w:right="0" w:firstLine="740"/>
        <w:jc w:val="left"/>
      </w:pPr>
      <w:r>
        <w:rPr>
          <w:rStyle w:val="CharStyle25"/>
        </w:rPr>
        <w:t xml:space="preserve">Le CEE était un crédit d'impôt remboursable à grande échelle conçu pour encourager les employeurs à maintenir les employés sur leur liste de paie. Ce programme a également profité indirectement aux employés puisqu'il visait à aider les entreprises qui les employaient. Le crédit correspond à 50 % des salaires pouvant atteindre 10 000 $ versés par un employeur dont l'entreprise est totalement ou partiellement suspendue en raison de la COVID-19 ou dont les recettes brutes diminuent de plus de 50 %.</w:t>
      </w:r>
    </w:p>
    <w:p>
      <w:pPr>
        <w:pStyle w:val="Style24"/>
        <w:keepNext w:val="0"/>
        <w:keepLines w:val="0"/>
        <w:widowControl w:val="0"/>
        <w:shd w:val="clear" w:color="auto" w:fill="auto"/>
        <w:spacing w:before="0"/>
        <w:ind w:left="0" w:right="0" w:firstLine="0"/>
        <w:jc w:val="left"/>
      </w:pPr>
      <w:r>
        <w:rPr>
          <w:rStyle w:val="CharStyle25"/>
          <w:u w:val="single"/>
        </w:rPr>
        <w:t xml:space="preserve">Renforcement du programme d’aide alimentaire d’urgence [ci-après le «TEFAP»]</w:t>
      </w:r>
      <w:r>
        <w:rPr>
          <w:rStyle w:val="CharStyle25"/>
        </w:rPr>
        <w:t xml:space="preserve"> </w:t>
        <w:footnoteReference w:id="99"/>
      </w:r>
    </w:p>
    <w:p>
      <w:pPr>
        <w:pStyle w:val="Style24"/>
        <w:keepNext w:val="0"/>
        <w:keepLines w:val="0"/>
        <w:widowControl w:val="0"/>
        <w:shd w:val="clear" w:color="auto" w:fill="auto"/>
        <w:spacing w:before="0" w:line="264" w:lineRule="auto"/>
        <w:ind w:left="0" w:right="0" w:firstLine="740"/>
        <w:jc w:val="left"/>
      </w:pPr>
      <w:r>
        <w:rPr>
          <w:rStyle w:val="CharStyle25"/>
        </w:rPr>
        <w:t xml:space="preserve">La loi CARES a fourni 450 millions de dollars supplémentaires au TEFAP, un programme financé par le gouvernement fédéral qui distribue des aliments aux banques alimentaires, aux garde-manger, aux soupes populaires et à d'autres établissements desservant les Américains à faible revenu.</w:t>
      </w:r>
    </w:p>
    <w:p>
      <w:pPr>
        <w:pStyle w:val="Style24"/>
        <w:keepNext w:val="0"/>
        <w:keepLines w:val="0"/>
        <w:widowControl w:val="0"/>
        <w:shd w:val="clear" w:color="auto" w:fill="auto"/>
        <w:spacing w:before="0"/>
        <w:ind w:left="0" w:right="0" w:firstLine="0"/>
        <w:jc w:val="left"/>
      </w:pPr>
      <w:r>
        <w:rPr>
          <w:rStyle w:val="CharStyle25"/>
          <w:u w:val="single"/>
        </w:rPr>
        <w:t xml:space="preserve">Prêts en cas de catastrophe économique</w:t>
      </w:r>
      <w:r>
        <w:rPr>
          <w:rStyle w:val="CharStyle25"/>
        </w:rPr>
        <w:footnoteReference w:id="100"/>
      </w:r>
    </w:p>
    <w:p>
      <w:pPr>
        <w:pStyle w:val="Style24"/>
        <w:keepNext w:val="0"/>
        <w:keepLines w:val="0"/>
        <w:widowControl w:val="0"/>
        <w:shd w:val="clear" w:color="auto" w:fill="auto"/>
        <w:spacing w:before="0" w:after="320"/>
        <w:ind w:left="0" w:right="0" w:firstLine="740"/>
        <w:jc w:val="left"/>
      </w:pPr>
      <w:r>
        <w:rPr>
          <w:rStyle w:val="CharStyle25"/>
        </w:rPr>
        <w:t xml:space="preserve">Les petites entreprises, y compris les entreprises agricoles et les organismes sans but lucratif, pourraient demander des prêts à faible taux d'intérêt pour aider à couvrir le fonds de roulement et les dépenses d'exploitation. Le programme EIDL comprenait une avance allant jusqu'à 10 000 $ qui n'avait pas besoin d'être remboursée, même si la demande de prêt était refusée. Là encore, les chômeurs n'en bénéficiaient pas directement, mais ils pouvaient en bénéficier indirectement si l'IEDL facilitait le maintien en activité de leur employeur.</w:t>
      </w:r>
    </w:p>
    <w:p>
      <w:pPr>
        <w:pStyle w:val="Style24"/>
        <w:keepNext w:val="0"/>
        <w:keepLines w:val="0"/>
        <w:widowControl w:val="0"/>
        <w:shd w:val="clear" w:color="auto" w:fill="auto"/>
        <w:spacing w:before="0" w:after="320"/>
        <w:ind w:left="1460" w:right="0" w:hanging="1460"/>
        <w:jc w:val="left"/>
      </w:pPr>
      <w:r>
        <w:rPr>
          <w:rStyle w:val="CharStyle25"/>
        </w:rPr>
        <w:t xml:space="preserve">CONSTATATION : Les mesures d’atténuation arbitraires et trop larges prises par les responsables de la santé publique et les efforts agressifs déployés pour étouffer le débat scientifique légitime ont inutilement exacerbé le chômage.</w:t>
      </w:r>
    </w:p>
    <w:p>
      <w:pPr>
        <w:pStyle w:val="Style24"/>
        <w:keepNext w:val="0"/>
        <w:keepLines w:val="0"/>
        <w:widowControl w:val="0"/>
        <w:shd w:val="clear" w:color="auto" w:fill="auto"/>
        <w:spacing w:before="0"/>
        <w:ind w:left="0" w:right="0" w:firstLine="740"/>
        <w:jc w:val="left"/>
      </w:pPr>
      <w:r>
        <w:rPr>
          <w:rStyle w:val="CharStyle25"/>
        </w:rPr>
        <w:t xml:space="preserve">Les responsables de la santé publique ont conseillé à tous les Américains de s'éloigner socialement de six pieds des autres, en plus du masquage, en tant que mesures de protection vitales essentielles pour freiner la pandémie. En outre, le directeur de l’NIAID de l’époque, membre de la force Tak contre le coronavirus de la Maison Blanche, et le Dr Fauci, le visage du pays face à la pandémie, ont pris la décision de recommander au président de «fermer le pays».</w:t>
        <w:footnoteReference w:id="101"/>
        <w:t xml:space="preserve"> La plupart des États ont rapidement mis en œuvre ces conseils et ont imposé des ordonnances de séjour à domicile. À un moment donné entre mars et juin 2020, 38 États et Washington, D.C. ont imposé des confinements, des abris en place ou d'autres ordres similaires pour toutes les personnes. </w:t>
        <w:footnoteReference w:id="102"/>
        <w:t xml:space="preserve">Deux États ont imposé des mesures de maintien à la maison pour les personnes à risque.</w:t>
        <w:footnoteReference w:id="103"/>
        <w:t xml:space="preserve"> Six ont émis des directives consultatives, et cinq États n'ont pas émis d'ordonnances ou d'orientations.</w:t>
        <w:footnoteReference w:id="104"/>
      </w:r>
    </w:p>
    <w:p>
      <w:pPr>
        <w:pStyle w:val="Style24"/>
        <w:keepNext w:val="0"/>
        <w:keepLines w:val="0"/>
        <w:widowControl w:val="0"/>
        <w:shd w:val="clear" w:color="auto" w:fill="auto"/>
        <w:spacing w:before="0" w:line="264" w:lineRule="auto"/>
        <w:ind w:left="0" w:right="0" w:firstLine="740"/>
        <w:jc w:val="left"/>
      </w:pPr>
      <w:r>
        <w:rPr>
          <w:rStyle w:val="CharStyle25"/>
        </w:rPr>
        <w:t xml:space="preserve">En 2024, de nombreux hauts responsables de la santé publique qui ont promu la distanciation sociale admettent qu'elle manquait de base scientifique. Comme cela a déjà été discuté dans ce rapport, le Dr Fauci et d'autres hauts responsables de la santé publique des États-Unis ont conseillé aux Américains de s'éloigner socialement de six pieds. </w:t>
        <w:footnoteReference w:id="105"/>
        <w:t xml:space="preserve">Par exemple, le Dr Fauci a admis que la distanciation sociale de six pieds n’est pas étayée par une étude</w:t>
        <w:br w:type="page"/>
        <w:t xml:space="preserve">scientifique sous-jacente et qu’«une sorte de distanciation vient d’apparaître».</w:t>
        <w:footnoteReference w:id="106"/>
        <w:t xml:space="preserve"> En outre, le Dr Collins a témoigné qu’il n’était «pas impliqué dans cette conversation» à l’époque et qu’il «n’a pas vu de preuve» à l’époque, ni depuis, que cela appuyait la distanciation sociale de six pieds.</w:t>
        <w:footnoteReference w:id="107"/>
      </w:r>
    </w:p>
    <w:p>
      <w:pPr>
        <w:widowControl w:val="0"/>
        <w:jc w:val="center"/>
        <w:rPr>
          <w:sz w:val="2"/>
        </w:rPr>
      </w:pPr>
      <w:r>
        <w:drawing>
          <wp:inline>
            <wp:extent cx="5998210" cy="3889375"/>
            <wp:docPr id="7" name="Picutre 7"/>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a:stretch/>
                  </pic:blipFill>
                  <pic:spPr>
                    <a:xfrm>
                      <a:ext cx="5998210" cy="3889375"/>
                    </a:xfrm>
                    <a:prstGeom prst="rect"/>
                  </pic:spPr>
                </pic:pic>
              </a:graphicData>
            </a:graphic>
          </wp:inline>
        </w:drawing>
      </w:r>
    </w:p>
    <w:p>
      <w:pPr>
        <w:widowControl w:val="0"/>
        <w:spacing w:after="259" w:line="1" w:lineRule="exact"/>
      </w:pPr>
    </w:p>
    <w:p>
      <w:pPr>
        <w:pStyle w:val="Style24"/>
        <w:keepNext w:val="0"/>
        <w:keepLines w:val="0"/>
        <w:widowControl w:val="0"/>
        <w:shd w:val="clear" w:color="auto" w:fill="auto"/>
        <w:spacing w:before="0"/>
        <w:ind w:left="0" w:right="0" w:firstLine="740"/>
        <w:jc w:val="left"/>
      </w:pPr>
      <w:r>
        <w:rPr>
          <w:rStyle w:val="CharStyle25"/>
        </w:rPr>
        <w:t xml:space="preserve">Alors que les responsables de la santé publique et les autres professionnels de la santé sont formés pour être prudents dans leurs recommandations et réduire autant que possible les risques pour la santé, ces conseils non étayés - rester à domicile et maintenir une distance de six pieds, que les États ont rapidement mis en œuvre en tant que mandats, ont eu de graves effets néfastes dans l'ensemble de la société. En ce qui concerne la discussion ici, ce conseil a considérablement exacerbé les fermetures d'entreprises et le chômage.</w:t>
      </w:r>
    </w:p>
    <w:p>
      <w:pPr>
        <w:pStyle w:val="Style24"/>
        <w:keepNext w:val="0"/>
        <w:keepLines w:val="0"/>
        <w:widowControl w:val="0"/>
        <w:shd w:val="clear" w:color="auto" w:fill="auto"/>
        <w:spacing w:before="0" w:line="264" w:lineRule="auto"/>
        <w:ind w:left="0" w:right="0" w:firstLine="740"/>
        <w:jc w:val="left"/>
      </w:pPr>
      <w:r>
        <w:rPr>
          <w:rStyle w:val="CharStyle25"/>
        </w:rPr>
        <w:t xml:space="preserve">À leur point culminant, les taux d’emploi totaux dans tous les secteurs ont diminué de 25 % à la mi-avril</w:t>
        <w:softHyphen/>
        <w:t xml:space="preserve">2020 par rapport aux niveaux de janvier 2020 et sont restés bien en dessous de ce niveau pendant deux ans.</w:t>
      </w:r>
    </w:p>
    <w:p>
      <w:pPr>
        <w:pStyle w:val="Style24"/>
        <w:keepNext w:val="0"/>
        <w:keepLines w:val="0"/>
        <w:widowControl w:val="0"/>
        <w:shd w:val="clear" w:color="auto" w:fill="auto"/>
        <w:spacing w:before="0"/>
        <w:ind w:left="0" w:right="0" w:firstLine="740"/>
        <w:jc w:val="left"/>
      </w:pPr>
      <w:r>
        <w:rPr>
          <w:rStyle w:val="CharStyle25"/>
        </w:rPr>
        <w:t xml:space="preserve">Bien que tout le chômage ne puisse pas être attribué à la distanciation sociale et aux commandes de rester à la maison, les statistiques montrent qu'il a joué un rôle considérable. Selon le Bureau of Labor Statistics des États-Unis, en 2020, 80% des entreprises soumises à des mesures d'atténuation obligatoires du gouvernement ont dit aux employés de ne pas travailler ou ont réduit leurs heures de travail, contre 54% des entreprises qui n'ont pas été soumises à des mesures d'atténuation imposées par le gouvernement. </w:t>
        <w:footnoteReference w:id="108"/>
        <w:t xml:space="preserve">Enfin, selon l'enquête Small Business Pulse Survey menée par le Bureau du recensement des États-Unis, 31 % des petites entreprises ont déclaré que les mesures de distanciation sociale avaient considérablement réduit leurs revenus en 2020, ce qui a conduit bon nombre d'entre elles à des congédiements ou à des licenciements. </w:t>
        <w:footnoteReference w:id="109"/>
      </w:r>
    </w:p>
    <w:p>
      <w:pPr>
        <w:pStyle w:val="Style24"/>
        <w:keepNext w:val="0"/>
        <w:keepLines w:val="0"/>
        <w:widowControl w:val="0"/>
        <w:shd w:val="clear" w:color="auto" w:fill="auto"/>
        <w:spacing w:before="0"/>
        <w:ind w:left="0" w:right="0" w:firstLine="740"/>
        <w:jc w:val="left"/>
      </w:pPr>
      <w:r>
        <w:rPr>
          <w:rStyle w:val="CharStyle25"/>
        </w:rPr>
        <w:t xml:space="preserve">La distanciation sociale a non seulement limité les activités des entreprises, mais a également entraîné une réduction significative de la demande des consommateurs, ce qui a également aggravé le chômage. La crainte de contracter le virus, combinée aux mandats du gouvernement, a conduit les consommateurs à éviter de s'engager dans une activité économique normale. Le Bureau of Economic Analysis des États-Unis [ci-après le «BEA»] a fait état d’une forte baisse des dépenses de consommation au cours des premiers mois de la pandémie, avec une baisse de 6,7 % en mars 2020 et une baisse record de 13,2 % en avril 2020. </w:t>
        <w:footnoteReference w:id="110"/>
        <w:t xml:space="preserve">Pour le contexte, le BEA a recueilli des données sur les dépenses de consommation depuis 1959 et avant la pandémie, la pire baisse mensuelle de 2,5 pour cent au début de 1987.</w:t>
        <w:footnoteReference w:id="111"/>
        <w:t xml:space="preserve"> Cette baisse est due à la réduction des dépenses consacrées aux services, en particulier dans les secteurs les plus touchés par la distanciation sociale.</w:t>
      </w:r>
    </w:p>
    <w:p>
      <w:pPr>
        <w:pStyle w:val="Style24"/>
        <w:keepNext w:val="0"/>
        <w:keepLines w:val="0"/>
        <w:widowControl w:val="0"/>
        <w:shd w:val="clear" w:color="auto" w:fill="auto"/>
        <w:spacing w:before="0"/>
        <w:ind w:left="0" w:right="0" w:firstLine="740"/>
        <w:jc w:val="left"/>
      </w:pPr>
      <w:r>
        <w:rPr>
          <w:rStyle w:val="CharStyle25"/>
        </w:rPr>
        <w:t xml:space="preserve">Les responsables de la santé publique ont non seulement formulé des recommandations non étayées par la science qui ont eu des effets dévastateurs sur l'emploi et l'économie en général, mais ils ont également doublé ces décisions. Par exemple, la réaction de M. Collins à la déclaration de Great Barrington.</w:t>
      </w:r>
    </w:p>
    <w:p>
      <w:pPr>
        <w:pStyle w:val="Style24"/>
        <w:keepNext w:val="0"/>
        <w:keepLines w:val="0"/>
        <w:widowControl w:val="0"/>
        <w:shd w:val="clear" w:color="auto" w:fill="auto"/>
        <w:spacing w:before="0"/>
        <w:ind w:left="0" w:right="0" w:firstLine="740"/>
        <w:jc w:val="left"/>
      </w:pPr>
      <w:r>
        <w:rPr>
          <w:rStyle w:val="CharStyle25"/>
        </w:rPr>
        <w:t xml:space="preserve">La déclaration de Great Barrington, publiée en octobre 2020, proposait une stratégie alternative à la distanciation sociale généralisée, aux confinements et aux restrictions mis en œuvre pendant la pandémie de COVID-19.</w:t>
        <w:footnoteReference w:id="112"/>
        <w:t xml:space="preserve"> L'argument principal est que protéger les personnes vulnérables tout en permettant à d'autres de maintenir des activités normales minimiserait les retombées économiques de la pandémie. En maintenant les entreprises ouvertes, en maintenant la demande des consommateurs et en évitant les licenciements à grande échelle, l'économie aurait pu éviter les sévères contractions subies en 2020.</w:t>
      </w:r>
    </w:p>
    <w:p>
      <w:pPr>
        <w:pStyle w:val="Style24"/>
        <w:keepNext w:val="0"/>
        <w:keepLines w:val="0"/>
        <w:widowControl w:val="0"/>
        <w:shd w:val="clear" w:color="auto" w:fill="auto"/>
        <w:spacing w:before="0" w:after="1360"/>
        <w:ind w:left="0" w:right="0" w:firstLine="740"/>
        <w:jc w:val="left"/>
      </w:pPr>
      <w:r>
        <w:rPr>
          <w:rStyle w:val="CharStyle25"/>
        </w:rPr>
        <w:t xml:space="preserve">La déclaration de Great Barrington a été l’une des premières publications à remettre en cause la base scientifique d’une approche unique de la distanciation sociale et du confinement. Le Dr Collins a appelé à un « retrait publié rapide et dévastateur des locaux [du journal] ».</w:t>
        <w:footnoteReference w:id="113"/>
      </w:r>
    </w:p>
    <w:p>
      <w:pPr>
        <w:pStyle w:val="Style24"/>
        <w:keepNext w:val="0"/>
        <w:keepLines w:val="0"/>
        <w:widowControl w:val="0"/>
        <w:shd w:val="clear" w:color="auto" w:fill="auto"/>
        <w:spacing w:before="0" w:line="240" w:lineRule="auto"/>
        <w:ind w:left="0" w:right="0" w:firstLine="0"/>
        <w:jc w:val="center"/>
      </w:pPr>
      <w:r>
        <w:rPr>
          <w:rStyle w:val="CharStyle25"/>
        </w:rPr>
        <w:t xml:space="preserve">[REMAINDER OF PAGE INTENTIONALLY BLANK]</w:t>
      </w:r>
    </w:p>
    <w:p>
      <w:pPr>
        <w:pStyle w:val="Style36"/>
        <w:keepNext w:val="0"/>
        <w:keepLines w:val="0"/>
        <w:widowControl w:val="0"/>
        <w:shd w:val="clear" w:color="auto" w:fill="auto"/>
        <w:tabs>
          <w:tab w:pos="4633" w:val="left"/>
        </w:tabs>
        <w:spacing w:before="0" w:after="0"/>
        <w:ind w:left="0" w:right="0"/>
        <w:jc w:val="left"/>
        <w:rPr>
          <w:sz w:val="15"/>
        </w:rPr>
      </w:pPr>
      <w:r>
        <w:rPr>
          <w:rStyle w:val="CharStyle37"/>
          <w:b/>
          <w:sz w:val="15"/>
        </w:rPr>
        <w:t xml:space="preserve">À partir de: Collins. Francis (N1H/OOJ f£)</w:t>
        <w:tab/>
        <w:t>frJWi</w:t>
      </w:r>
    </w:p>
    <w:p>
      <w:pPr>
        <w:pStyle w:val="Style39"/>
        <w:keepNext w:val="0"/>
        <w:keepLines w:val="0"/>
        <w:widowControl w:val="0"/>
        <w:shd w:val="clear" w:color="auto" w:fill="auto"/>
        <w:spacing w:before="0" w:after="40" w:line="240" w:lineRule="auto"/>
        <w:ind w:left="0" w:right="0" w:firstLine="740"/>
        <w:jc w:val="left"/>
        <w:rPr>
          <w:sz w:val="18"/>
        </w:rPr>
      </w:pPr>
      <w:r>
        <w:rPr>
          <w:rStyle w:val="CharStyle40"/>
          <w:b/>
          <w:color w:val="656361"/>
          <w:sz w:val="18"/>
        </w:rPr>
        <w:t xml:space="preserve">Envoyé le jeudi 8 octobre 2020 251 PM</w:t>
      </w:r>
    </w:p>
    <w:p>
      <w:pPr>
        <w:pStyle w:val="Style36"/>
        <w:keepNext w:val="0"/>
        <w:keepLines w:val="0"/>
        <w:widowControl w:val="0"/>
        <w:shd w:val="clear" w:color="auto" w:fill="auto"/>
        <w:tabs>
          <w:tab w:pos="4633" w:val="left"/>
        </w:tabs>
        <w:spacing w:before="0" w:after="200"/>
        <w:ind w:left="0" w:right="0"/>
        <w:jc w:val="left"/>
        <w:rPr>
          <w:sz w:val="15"/>
        </w:rPr>
      </w:pPr>
      <w:r>
        <w:rPr>
          <w:rStyle w:val="CharStyle37"/>
          <w:b/>
          <w:sz w:val="15"/>
        </w:rPr>
        <w:t xml:space="preserve">À Fauci, Anthony (NIH/N1AIDHE1</w:t>
        <w:tab/>
        <w:t xml:space="preserve">^"*1. Lane. CHH (NlH/NIAlD) ]E _ _ _ _ _ _ _ _ _ _ _ _ _ _ _ _ _ _ _ _ _ _ _ _ _ _ _ _ _ _ _ _</w:t>
      </w:r>
    </w:p>
    <w:p>
      <w:pPr>
        <w:pStyle w:val="Style36"/>
        <w:keepNext w:val="0"/>
        <w:keepLines w:val="0"/>
        <w:widowControl w:val="0"/>
        <w:shd w:val="clear" w:color="auto" w:fill="auto"/>
        <w:tabs>
          <w:tab w:pos="5070" w:val="left"/>
        </w:tabs>
        <w:spacing w:before="0" w:after="0"/>
        <w:ind w:left="0" w:right="0"/>
        <w:jc w:val="left"/>
        <w:rPr>
          <w:sz w:val="15"/>
        </w:rPr>
      </w:pPr>
      <w:r>
        <w:rPr>
          <w:rStyle w:val="CharStyle37"/>
          <w:b/>
          <w:sz w:val="15"/>
        </w:rPr>
        <w:t xml:space="preserve">C&lt; T»bak, LiwWw (NIH/QD) [anglais]</w:t>
        <w:tab/>
        <w:t>W</w:t>
      </w:r>
    </w:p>
    <w:p>
      <w:pPr>
        <w:pStyle w:val="Style36"/>
        <w:keepNext w:val="0"/>
        <w:keepLines w:val="0"/>
        <w:widowControl w:val="0"/>
        <w:shd w:val="clear" w:color="auto" w:fill="auto"/>
        <w:spacing w:before="0" w:after="200"/>
        <w:ind w:left="0" w:right="0"/>
        <w:jc w:val="left"/>
        <w:rPr>
          <w:sz w:val="15"/>
        </w:rPr>
      </w:pPr>
      <w:r>
        <w:rPr>
          <w:rStyle w:val="CharStyle37"/>
          <w:b/>
          <w:sz w:val="15"/>
        </w:rPr>
        <w:t xml:space="preserve">Objet: Great Barrington Dec loin al sur</w:t>
      </w:r>
    </w:p>
    <w:p>
      <w:pPr>
        <w:pStyle w:val="Style36"/>
        <w:keepNext w:val="0"/>
        <w:keepLines w:val="0"/>
        <w:widowControl w:val="0"/>
        <w:shd w:val="clear" w:color="auto" w:fill="auto"/>
        <w:spacing w:before="0" w:after="200"/>
        <w:ind w:left="0" w:right="0"/>
        <w:jc w:val="left"/>
        <w:rPr>
          <w:sz w:val="15"/>
        </w:rPr>
      </w:pPr>
      <w:r>
        <w:rPr>
          <w:rStyle w:val="CharStyle37"/>
          <w:b/>
          <w:sz w:val="15"/>
        </w:rPr>
        <w:t xml:space="preserve">HTony et dKt</w:t>
      </w:r>
    </w:p>
    <w:p>
      <w:pPr>
        <w:pStyle w:val="Style36"/>
        <w:keepNext w:val="0"/>
        <w:keepLines w:val="0"/>
        <w:widowControl w:val="0"/>
        <w:shd w:val="clear" w:color="auto" w:fill="auto"/>
        <w:spacing w:before="0" w:after="260" w:line="269" w:lineRule="auto"/>
        <w:ind w:left="740" w:right="0" w:firstLine="20"/>
        <w:jc w:val="left"/>
      </w:pPr>
      <w:r>
        <w:rPr>
          <w:rStyle w:val="CharStyle37"/>
          <w:rFonts w:ascii="Times New Roman" w:hAnsi="Times New Roman" w:cs="Times New Roman" w:eastAsia="Times New Roman"/>
          <w:sz w:val="20"/>
        </w:rPr>
        <w:t xml:space="preserve">Voir </w:t>
      </w:r>
      <w:r>
        <w:rPr>
          <w:rStyle w:val="CharStyle37"/>
          <w:b/>
          <w:color w:val="A0A1A1"/>
          <w:sz w:val="18"/>
          <w:u w:val="single"/>
        </w:rPr>
        <w:t xml:space="preserve">hi </w:t>
      </w:r>
      <w:r>
        <w:rPr>
          <w:rStyle w:val="CharStyle37"/>
          <w:rFonts w:ascii="Times New Roman" w:hAnsi="Times New Roman" w:cs="Times New Roman" w:eastAsia="Times New Roman"/>
          <w:smallCaps/>
          <w:color w:val="A0A1A1"/>
          <w:sz w:val="15"/>
          <w:u w:val="single"/>
        </w:rPr>
        <w:t>ids</w:t>
      </w:r>
      <w:r>
        <w:rPr>
          <w:rStyle w:val="CharStyle37"/>
          <w:b/>
          <w:color w:val="A0A1A1"/>
          <w:sz w:val="18"/>
          <w:u w:val="single"/>
        </w:rPr>
        <w:t xml:space="preserve">://abdecla </w:t>
      </w:r>
      <w:r>
        <w:rPr>
          <w:rStyle w:val="CharStyle37"/>
          <w:color w:val="A0A1A1"/>
          <w:u w:val="single"/>
        </w:rPr>
        <w:t xml:space="preserve">ratio </w:t>
      </w:r>
      <w:r>
        <w:rPr>
          <w:rStyle w:val="CharStyle37"/>
          <w:b/>
          <w:color w:val="A0A1A1"/>
          <w:sz w:val="18"/>
          <w:u w:val="single"/>
        </w:rPr>
        <w:t>n.nfit/</w:t>
      </w:r>
      <w:r>
        <w:rPr>
          <w:rStyle w:val="CharStyle37"/>
          <w:b/>
          <w:color w:val="A0A1A1"/>
          <w:sz w:val="18"/>
        </w:rPr>
        <w:t xml:space="preserve"> </w:t>
      </w:r>
      <w:r>
        <w:rPr>
          <w:rStyle w:val="CharStyle37"/>
          <w:b/>
          <w:sz w:val="18"/>
        </w:rPr>
        <w:t xml:space="preserve">Cette proposition des trois épidémiologistes marginaux qui ont rencontré le </w:t>
      </w:r>
      <w:r>
        <w:rPr>
          <w:rStyle w:val="CharStyle37"/>
        </w:rPr>
        <w:t xml:space="preserve">secrétaire semble 1s hr obtenir beaucoup de atiiTtion -et même un ccrslgnatwe corne Nqhel Prue gagnant Mike Leavitt à Slanfard Thpre a besoin Io être un rapide et df / astarmE publié tak^dcwn de ses locaux Je ne SeO anythkiflllke que </w:t>
      </w:r>
      <w:r>
        <w:rPr>
          <w:rStyle w:val="CharStyle37"/>
          <w:rFonts w:ascii="Times New Roman" w:hAnsi="Times New Roman" w:cs="Times New Roman" w:eastAsia="Times New Roman"/>
          <w:smallCaps/>
          <w:sz w:val="15"/>
        </w:rPr>
        <w:t xml:space="preserve">ligne oti</w:t>
      </w:r>
      <w:r>
        <w:rPr>
          <w:rStyle w:val="CharStyle37"/>
        </w:rPr>
        <w:t xml:space="preserve"> encore -est-il en cours?</w:t>
      </w:r>
    </w:p>
    <w:p>
      <w:pPr>
        <w:pStyle w:val="Style36"/>
        <w:keepNext w:val="0"/>
        <w:keepLines w:val="0"/>
        <w:widowControl w:val="0"/>
        <w:shd w:val="clear" w:color="auto" w:fill="auto"/>
        <w:spacing w:before="0" w:after="720"/>
        <w:ind w:left="0" w:right="0"/>
        <w:jc w:val="left"/>
        <w:rPr>
          <w:sz w:val="15"/>
        </w:rPr>
      </w:pPr>
      <w:r>
        <w:rPr>
          <w:rStyle w:val="CharStyle37"/>
          <w:b/>
          <w:sz w:val="15"/>
        </w:rPr>
        <w:t>François</w:t>
      </w:r>
    </w:p>
    <w:p>
      <w:pPr>
        <w:pStyle w:val="Style24"/>
        <w:keepNext w:val="0"/>
        <w:keepLines w:val="0"/>
        <w:widowControl w:val="0"/>
        <w:shd w:val="clear" w:color="auto" w:fill="auto"/>
        <w:spacing w:before="0" w:line="264" w:lineRule="auto"/>
        <w:ind w:left="0" w:right="0" w:firstLine="760"/>
        <w:jc w:val="left"/>
      </w:pPr>
      <w:r>
        <w:rPr>
          <w:rStyle w:val="CharStyle25"/>
        </w:rPr>
        <w:t xml:space="preserve">Le Dr Collins a déclaré dans son témoignage que la déclaration de Great Barrington était une «approche dangereuse» et qu’il «cherchait une réponse d’experts crédibles pour obtenir cette réponse rapidement avant que cela ne devienne en quelque sorte une politique américaine».</w:t>
        <w:footnoteReference w:id="114"/>
      </w:r>
    </w:p>
    <w:p>
      <w:pPr>
        <w:pStyle w:val="Style24"/>
        <w:keepNext w:val="0"/>
        <w:keepLines w:val="0"/>
        <w:widowControl w:val="0"/>
        <w:shd w:val="clear" w:color="auto" w:fill="auto"/>
        <w:spacing w:before="0"/>
        <w:ind w:left="0" w:right="0" w:firstLine="760"/>
        <w:jc w:val="left"/>
      </w:pPr>
      <w:r>
        <w:rPr>
          <w:rStyle w:val="CharStyle25"/>
        </w:rPr>
        <w:t xml:space="preserve">Si un débat scientifique légitime avait pu avoir lieu, d'autres pistes d'action, telles que celles proposées dans la Déclaration de Great Barrington, auraient pu être tentées avec une amélioration des impacts de l'emploi et de l'économie. En 2023, lors d'un panel de Braver Angels, le Dr Collins a reconnu que, pendant la pandémie, les responsables de la santé publique n'avaient jamais vraiment tenu compte des impacts en aval d'une politique de santé publique agressive et que c'était une erreur:</w:t>
      </w:r>
    </w:p>
    <w:p>
      <w:pPr>
        <w:pStyle w:val="Style24"/>
        <w:keepNext w:val="0"/>
        <w:keepLines w:val="0"/>
        <w:widowControl w:val="0"/>
        <w:shd w:val="clear" w:color="auto" w:fill="auto"/>
        <w:spacing w:before="0"/>
        <w:ind w:left="740" w:right="0" w:firstLine="20"/>
        <w:jc w:val="both"/>
      </w:pPr>
      <w:r>
        <w:rPr>
          <w:rStyle w:val="CharStyle25"/>
        </w:rPr>
        <w:t xml:space="preserve">Les responsables de la santé publique — nous en avons parlé plus tôt et sur ce point très important — si vous êtes un responsable de la santé publique et que vous essayez de prendre une décision, vous avez cette vision très étroite de la bonne décision. Et c'est quelque chose qui sauvera une vie; Peu importe ce qui se passe d’autre. Vous attachez donc une valeur infinie à l'arrêt de la maladie et au sauvetage d'une vie. Vous n'accordez aucune valeur à la question de savoir si cela perturbe totalement la vie des gens, ruine l'économie et empêche de nombreux enfants d'aller à l'école d'une manière dont ils ne se remettent jamais complètement. Donc, oui, des dommages collatéraux. C'est un état d'esprit de santé publique et je pense que beaucoup d'entre nous qui ont essayé de faire ces recommandations avaient cet état d'esprit et c'était vraiment malheureux. C'est une autre erreur que nous avons commise. </w:t>
        <w:footnoteReference w:id="115"/>
      </w:r>
    </w:p>
    <w:p>
      <w:pPr>
        <w:pStyle w:val="Style24"/>
        <w:keepNext w:val="0"/>
        <w:keepLines w:val="0"/>
        <w:widowControl w:val="0"/>
        <w:shd w:val="clear" w:color="auto" w:fill="auto"/>
        <w:spacing w:before="0"/>
        <w:ind w:left="0" w:right="0" w:firstLine="760"/>
        <w:jc w:val="left"/>
      </w:pPr>
      <w:r>
        <w:rPr>
          <w:rStyle w:val="CharStyle25"/>
        </w:rPr>
        <w:t xml:space="preserve">Les mesures de distanciation sociale ont eu des conséquences économiques importantes qui ont exacerbé le chômage et accéléré la fermeture des entreprises. Les données démontrent que la réduction de la demande des consommateurs, les restrictions opérationnelles et les répercussions économiques à long terme de la distanciation sociale ont contribué à l'un des ralentissements économiques les plus graves de l'histoire récente. Ainsi, bien que les considérations de santé publique soient primordiales, les coûts économiques de la distanciation sociale soulignent la nécessité d'une approche équilibrée qui appuie à la fois la santé et l'économie. En d'autres termes, des voix plus diverses de différentes disciplines (économistes, chefs de file de l'industrie, éducateurs, etc.) auraient dû participer à la discussion pour s'assurer que les effets en aval de ces politiques puissent être pleinement pris en compte.</w:t>
      </w:r>
    </w:p>
    <w:tbl>
      <w:tblPr>
        <w:tblOverlap w:val="never"/>
        <w:jc w:val="center"/>
        <w:tblLayout w:type="fixed"/>
      </w:tblPr>
      <w:tblGrid>
        <w:gridCol w:w="1402"/>
        <w:gridCol w:w="8242"/>
      </w:tblGrid>
      <w:tr>
        <w:trPr>
          <w:trHeight w:val="1205" w:hRule="exact"/>
        </w:trPr>
        <w:tc>
          <w:tcPr>
            <w:tcBorders>
              <w:top w:val="single" w:sz="4"/>
              <w:left w:val="single" w:sz="4"/>
              <w:bottom w:val="single" w:sz="4"/>
            </w:tcBorders>
            <w:shd w:val="clear" w:color="auto" w:fill="D9F3D0"/>
            <w:vAlign w:val="top"/>
          </w:tcPr>
          <w:p>
            <w:pPr>
              <w:pStyle w:val="Style18"/>
              <w:keepNext w:val="0"/>
              <w:keepLines w:val="0"/>
              <w:widowControl w:val="0"/>
              <w:shd w:val="clear" w:color="auto" w:fill="auto"/>
              <w:spacing w:before="0" w:after="0" w:line="240" w:lineRule="auto"/>
              <w:ind w:left="0" w:right="0" w:firstLine="0"/>
              <w:jc w:val="center"/>
            </w:pPr>
            <w:r>
              <w:rPr>
                <w:rStyle w:val="CharStyle19"/>
              </w:rPr>
              <w:t xml:space="preserve">CONSTATATION :</w:t>
            </w:r>
          </w:p>
        </w:tc>
        <w:tc>
          <w:tcPr>
            <w:tcBorders>
              <w:top w:val="single" w:sz="4"/>
              <w:bottom w:val="single" w:sz="4"/>
              <w:right w:val="single" w:sz="4"/>
            </w:tcBorders>
            <w:shd w:val="clear" w:color="auto" w:fill="D9F3D0"/>
            <w:vAlign w:val="bottom"/>
          </w:tcPr>
          <w:p>
            <w:pPr>
              <w:pStyle w:val="Style18"/>
              <w:keepNext w:val="0"/>
              <w:keepLines w:val="0"/>
              <w:widowControl w:val="0"/>
              <w:shd w:val="clear" w:color="auto" w:fill="auto"/>
              <w:spacing w:before="0" w:after="0" w:line="264" w:lineRule="auto"/>
              <w:ind w:left="180" w:right="0" w:firstLine="0"/>
              <w:jc w:val="left"/>
            </w:pPr>
            <w:r>
              <w:rPr>
                <w:rStyle w:val="CharStyle19"/>
              </w:rPr>
              <w:t xml:space="preserve">Le chômage pandémique a touché de manière disproportionnée les secteurs où les salaires sont plus bas que ceux où les salaires sont plus élevés, comme ceux des services professionnels, et où les bas salaires continuent de rester au chômage à des taux plus élevés et le resteront probablement au cours de la prochaine décennie.</w:t>
            </w:r>
          </w:p>
        </w:tc>
      </w:tr>
    </w:tbl>
    <w:p>
      <w:pPr>
        <w:widowControl w:val="0"/>
        <w:spacing w:after="259" w:line="1" w:lineRule="exact"/>
      </w:pPr>
    </w:p>
    <w:p>
      <w:pPr>
        <w:pStyle w:val="Style24"/>
        <w:keepNext w:val="0"/>
        <w:keepLines w:val="0"/>
        <w:widowControl w:val="0"/>
        <w:shd w:val="clear" w:color="auto" w:fill="auto"/>
        <w:spacing w:before="0"/>
        <w:ind w:left="140" w:right="0" w:firstLine="720"/>
        <w:jc w:val="left"/>
      </w:pPr>
      <w:r>
        <w:rPr>
          <w:rStyle w:val="CharStyle25"/>
        </w:rPr>
        <w:t xml:space="preserve">Il n'est pas surprenant que les industries qui impliquent nécessairement des contacts étroits et des interactions en face à face aient souffert d'un chômage pire que les industries qui pourraient fonctionner efficacement sans contact étroit. Par exemple, 70 % des établissements des secteurs des arts, du divertissement, des loisirs et des services alimentaires ont dit à leurs employés de ne pas travailler à un moment donné pendant la pandémie de 2020. </w:t>
        <w:footnoteReference w:id="116"/>
      </w:r>
    </w:p>
    <w:p>
      <w:pPr>
        <w:pStyle w:val="Style24"/>
        <w:keepNext w:val="0"/>
        <w:keepLines w:val="0"/>
        <w:widowControl w:val="0"/>
        <w:shd w:val="clear" w:color="auto" w:fill="auto"/>
        <w:spacing w:before="0" w:after="1640"/>
        <w:ind w:left="140" w:right="0" w:firstLine="720"/>
        <w:jc w:val="left"/>
      </w:pPr>
      <w:r>
        <w:rPr>
          <w:rStyle w:val="CharStyle25"/>
        </w:rPr>
        <w:t xml:space="preserve">Dans la figure ci-dessous, l'industrie professionnelle et commerciale a connu une brève baisse de 10% des taux d'emploi dans les premiers jours de la pandémie, tandis que les loisirs et l'hôtellerie ont connu une chute de près de 60%. De nombreux professionnels, en particulier ceux des secteurs les mieux rémunérés tels que la technologie, la finance et le conseil, ont pu passer au travail à distance avec une relative facilité. </w:t>
        <w:footnoteReference w:id="117"/>
        <w:t xml:space="preserve">Cela leur a permis de maintenir les niveaux d’emploi et de revenus malgré le ralentissement économique causé par la pandémie. Les travailleurs à bas salaires, en particulier ceux des secteurs des services tels que l'hôtellerie, la vente au détail et les services alimentaires, étaient et restent incapables de télétravailler et ont été confrontés à des taux de perte d'emploi beaucoup plus élevés. Ces secteurs ont été fortement touchés par les confinements et les mesures de distanciation sociale, entraînant des licenciements massifs et une réduction du temps de travail. </w:t>
        <w:footnoteReference w:id="118"/>
      </w:r>
    </w:p>
    <w:p>
      <w:pPr>
        <w:pStyle w:val="Style24"/>
        <w:keepNext w:val="0"/>
        <w:keepLines w:val="0"/>
        <w:widowControl w:val="0"/>
        <w:shd w:val="clear" w:color="auto" w:fill="auto"/>
        <w:spacing w:before="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widowControl w:val="0"/>
        <w:jc w:val="center"/>
        <w:rPr>
          <w:sz w:val="2"/>
        </w:rPr>
      </w:pPr>
      <w:r>
        <w:drawing>
          <wp:inline>
            <wp:extent cx="5986145" cy="3761105"/>
            <wp:docPr id="8" name="Picutre 8"/>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a:stretch/>
                  </pic:blipFill>
                  <pic:spPr>
                    <a:xfrm>
                      <a:ext cx="5986145" cy="3761105"/>
                    </a:xfrm>
                    <a:prstGeom prst="rect"/>
                  </pic:spPr>
                </pic:pic>
              </a:graphicData>
            </a:graphic>
          </wp:inline>
        </w:drawing>
      </w:r>
    </w:p>
    <w:p>
      <w:pPr>
        <w:widowControl w:val="0"/>
        <w:spacing w:after="279" w:line="1" w:lineRule="exact"/>
      </w:pPr>
    </w:p>
    <w:p>
      <w:pPr>
        <w:pStyle w:val="Style24"/>
        <w:keepNext w:val="0"/>
        <w:keepLines w:val="0"/>
        <w:widowControl w:val="0"/>
        <w:shd w:val="clear" w:color="auto" w:fill="auto"/>
        <w:spacing w:before="0" w:after="1640"/>
        <w:ind w:left="0" w:right="0" w:firstLine="740"/>
        <w:jc w:val="left"/>
      </w:pPr>
      <w:r>
        <w:rPr>
          <w:rStyle w:val="CharStyle25"/>
        </w:rPr>
        <w:t xml:space="preserve">Ce qui est surprenant, cependant, c’est qu’en juin 2024, les taux d’emploi dans le commerce de détail et les transports ainsi que dans les loisirs et l’hôtellerie étaient encore bien inférieurs aux niveaux d’avant la pandémie, soit plus de 20 % de moins dans le cas des loisirs et de l’hôtellerie. La grande majorité des employés du commerce de détail, des transports, des loisirs et de l’hôtellerie sont des salariés moins bien rémunérés, ce qui se reflète dans la figure ci-dessous, qui montre que les taux d’emploi des bas salaires restent inférieurs de 10 % aux taux d’avant la pandémie.</w:t>
      </w:r>
    </w:p>
    <w:p>
      <w:pPr>
        <w:pStyle w:val="Style24"/>
        <w:keepNext w:val="0"/>
        <w:keepLines w:val="0"/>
        <w:widowControl w:val="0"/>
        <w:shd w:val="clear" w:color="auto" w:fill="auto"/>
        <w:spacing w:before="0" w:after="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widowControl w:val="0"/>
        <w:jc w:val="center"/>
        <w:rPr>
          <w:sz w:val="2"/>
        </w:rPr>
      </w:pPr>
      <w:r>
        <w:drawing>
          <wp:inline>
            <wp:extent cx="5986145" cy="3681730"/>
            <wp:docPr id="9" name="Picutre 9"/>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a:stretch/>
                  </pic:blipFill>
                  <pic:spPr>
                    <a:xfrm>
                      <a:ext cx="5986145" cy="3681730"/>
                    </a:xfrm>
                    <a:prstGeom prst="rect"/>
                  </pic:spPr>
                </pic:pic>
              </a:graphicData>
            </a:graphic>
          </wp:inline>
        </w:drawing>
      </w:r>
    </w:p>
    <w:p>
      <w:pPr>
        <w:widowControl w:val="0"/>
        <w:spacing w:after="259" w:line="1" w:lineRule="exact"/>
      </w:pPr>
    </w:p>
    <w:p>
      <w:pPr>
        <w:pStyle w:val="Style24"/>
        <w:keepNext w:val="0"/>
        <w:keepLines w:val="0"/>
        <w:widowControl w:val="0"/>
        <w:shd w:val="clear" w:color="auto" w:fill="auto"/>
        <w:spacing w:before="0"/>
        <w:ind w:left="0" w:right="0" w:firstLine="740"/>
        <w:jc w:val="left"/>
      </w:pPr>
      <w:r>
        <w:rPr>
          <w:rStyle w:val="CharStyle25"/>
        </w:rPr>
        <w:t xml:space="preserve">Pourquoi les taux d’emploi des salariés moins élevés ne se sont-ils pas redressés? La réponse est probablement que les conditions de la pandémie, en particulier la distanciation sociale et les confinements, ont considérablement accéléré les tendances qui apparaissaient avant la pandémie, en particulier le travail à distance, le commerce électronique et l’automatisation.</w:t>
        <w:footnoteReference w:id="119"/>
      </w:r>
    </w:p>
    <w:p>
      <w:pPr>
        <w:pStyle w:val="Style24"/>
        <w:keepNext w:val="0"/>
        <w:keepLines w:val="0"/>
        <w:widowControl w:val="0"/>
        <w:shd w:val="clear" w:color="auto" w:fill="auto"/>
        <w:spacing w:before="0"/>
        <w:ind w:left="0" w:right="0" w:firstLine="740"/>
        <w:jc w:val="left"/>
      </w:pPr>
      <w:r>
        <w:rPr>
          <w:rStyle w:val="CharStyle25"/>
        </w:rPr>
        <w:t xml:space="preserve">Alors que le travail à distance était déjà en cours avant 2020 pour de nombreux salariés à hauts salaires, la pandémie a entraîné le développement rapide d’outils visant à améliorer le télétravail, tels que la téléconférence (par exemple, Microsoft TEAMS, Zoom, etc.), les outils de partage de documents et la capacité de calcul en nuage.</w:t>
        <w:footnoteReference w:id="120"/>
        <w:t xml:space="preserve"> Le travail à distance se poursuit. En décembre 2023, près de 35 % des cadres et des professionnels ont déclaré télétravailler au moins un jour par semaine.</w:t>
        <w:footnoteReference w:id="121"/>
        <w:t xml:space="preserve"> Les travailleurs de l'industrie des services, qui sont principalement des salariés moins bien rémunérés, ne déclarent que 4% de travail à distance. </w:t>
        <w:footnoteReference w:id="122"/>
      </w:r>
    </w:p>
    <w:p>
      <w:pPr>
        <w:pStyle w:val="Style24"/>
        <w:keepNext w:val="0"/>
        <w:keepLines w:val="0"/>
        <w:widowControl w:val="0"/>
        <w:shd w:val="clear" w:color="auto" w:fill="auto"/>
        <w:spacing w:before="0" w:line="264" w:lineRule="auto"/>
        <w:ind w:left="0" w:right="0" w:firstLine="740"/>
        <w:jc w:val="left"/>
      </w:pPr>
      <w:r>
        <w:rPr>
          <w:rStyle w:val="CharStyle25"/>
        </w:rPr>
        <w:t xml:space="preserve">Le commerce électronique a connu une croissance cinq fois plus rapide qu’avant la pandémie et «[l]es types de transactions virtuelles telles que la télémédecine, les services bancaires en ligne et le divertissement en continu ont également décollé».</w:t>
        <w:footnoteReference w:id="123"/>
        <w:t xml:space="preserve"> Cette tendance n’a augmenté que dans les années qui ont suivi la pandémie, rendant obsolètes de nombreux emplois dans le commerce de détail et le soutien administratif.</w:t>
      </w:r>
    </w:p>
    <w:p>
      <w:pPr>
        <w:pStyle w:val="Style24"/>
        <w:keepNext w:val="0"/>
        <w:keepLines w:val="0"/>
        <w:widowControl w:val="0"/>
        <w:shd w:val="clear" w:color="auto" w:fill="auto"/>
        <w:spacing w:before="0"/>
        <w:ind w:left="0" w:right="0" w:firstLine="740"/>
        <w:jc w:val="left"/>
      </w:pPr>
      <w:r>
        <w:rPr>
          <w:rStyle w:val="CharStyle25"/>
        </w:rPr>
        <w:t xml:space="preserve">La pandémie a entraîné un développement rapide de l’automatisation et de l’intelligence artificielle [ci-après l’«IA»].</w:t>
        <w:footnoteReference w:id="124"/>
        <w:t xml:space="preserve"> La caractéristique commune de la technologie d'automatisation pandémique est sa corrélation avec le remplacement de l'interaction humaine et de la proximité physique.</w:t>
        <w:footnoteReference w:id="125"/>
        <w:t xml:space="preserve"> Les deux tiers des dirigeants interrogés ont déclaré avoir l'intention d'augmenter les investissements dans l'automatisation et l'IA, </w:t>
        <w:footnoteReference w:id="126"/>
        <w:t xml:space="preserve"> qui remplaceront principalement les travailleurs à bas salaires.</w:t>
      </w:r>
    </w:p>
    <w:p>
      <w:pPr>
        <w:pStyle w:val="Style24"/>
        <w:keepNext w:val="0"/>
        <w:keepLines w:val="0"/>
        <w:widowControl w:val="0"/>
        <w:shd w:val="clear" w:color="auto" w:fill="auto"/>
        <w:spacing w:before="0" w:after="0"/>
        <w:ind w:left="0" w:right="0" w:firstLine="740"/>
        <w:jc w:val="left"/>
      </w:pPr>
      <w:r>
        <w:rPr>
          <w:rStyle w:val="CharStyle25"/>
        </w:rPr>
        <w:t xml:space="preserve">Avant la pandémie et avec une relative facilité, un employé moins bien rémunéré pouvait passer de l'entrée dans le commerce de détail et les services à un poste de saisie de données de niveau d'entrée avec peu ou pas de compétences, d'éducation et de formation supplémentaires requises. Les tendances discutées ci-dessus rendent une telle transition peu probable parce que les opportunités ne seront très probablement pas là. D'ici 2030, jusqu'à 25% de tous les travailleurs américains pourraient avoir besoin de passer à d'autres professions nécessitant une formation, une éducation et des compétences supérieures à celles qu'ils possèdent actuellement.</w:t>
        <w:footnoteReference w:id="127"/>
      </w:r>
    </w:p>
    <w:p>
      <w:pPr>
        <w:pStyle w:val="Style24"/>
        <w:keepNext w:val="0"/>
        <w:keepLines w:val="0"/>
        <w:widowControl w:val="0"/>
        <w:numPr>
          <w:ilvl w:val="0"/>
          <w:numId w:val="1"/>
        </w:numPr>
        <w:shd w:val="clear" w:color="auto" w:fill="auto"/>
        <w:tabs>
          <w:tab w:pos="725" w:val="left"/>
        </w:tabs>
        <w:spacing w:before="0" w:after="240" w:line="264" w:lineRule="auto"/>
        <w:ind w:left="740" w:right="0" w:hanging="740"/>
        <w:jc w:val="left"/>
      </w:pPr>
      <w:r>
        <w:rPr>
          <w:rStyle w:val="CharStyle25"/>
        </w:rPr>
        <w:t xml:space="preserve">Les efforts de la Réserve fédérale pour atténuer les répercussions économiques de la pandémie de COVID-19</w:t>
      </w:r>
    </w:p>
    <w:p>
      <w:pPr>
        <w:pStyle w:val="Style24"/>
        <w:keepNext w:val="0"/>
        <w:keepLines w:val="0"/>
        <w:widowControl w:val="0"/>
        <w:shd w:val="clear" w:color="auto" w:fill="auto"/>
        <w:spacing w:before="0" w:after="240" w:line="259" w:lineRule="auto"/>
        <w:ind w:left="0" w:right="0" w:firstLine="740"/>
        <w:jc w:val="left"/>
      </w:pPr>
      <w:r>
        <w:rPr>
          <w:rStyle w:val="CharStyle25"/>
        </w:rPr>
        <w:t xml:space="preserve">La Réserve fédérale a pris plusieurs mesures pour atténuer les répercussions économiques de la pandémie de COVID-19.</w:t>
      </w:r>
    </w:p>
    <w:p>
      <w:pPr>
        <w:pStyle w:val="Style24"/>
        <w:keepNext w:val="0"/>
        <w:keepLines w:val="0"/>
        <w:widowControl w:val="0"/>
        <w:shd w:val="clear" w:color="auto" w:fill="auto"/>
        <w:spacing w:before="0" w:after="240"/>
        <w:ind w:left="0" w:right="0" w:firstLine="0"/>
        <w:jc w:val="left"/>
      </w:pPr>
      <w:r>
        <w:rPr>
          <w:rStyle w:val="CharStyle25"/>
          <w:u w:val="single"/>
        </w:rPr>
        <w:t xml:space="preserve">Le système de la Réserve fédérale et ses fonctions</w:t>
      </w:r>
    </w:p>
    <w:p>
      <w:pPr>
        <w:pStyle w:val="Style24"/>
        <w:keepNext w:val="0"/>
        <w:keepLines w:val="0"/>
        <w:widowControl w:val="0"/>
        <w:shd w:val="clear" w:color="auto" w:fill="auto"/>
        <w:spacing w:before="0" w:after="240"/>
        <w:ind w:left="0" w:right="0" w:firstLine="740"/>
        <w:jc w:val="left"/>
      </w:pPr>
      <w:r>
        <w:rPr>
          <w:rStyle w:val="CharStyle25"/>
        </w:rPr>
        <w:t xml:space="preserve">En 1913, le Congrès a adopté le Federal Reserve Act</w:t>
        <w:footnoteReference w:id="128"/>
        <w:t xml:space="preserve"> dans le but de créer «un système monétaire et financier plus sûr, plus flexible et plus stable»,</w:t>
        <w:footnoteReference w:id="129"/>
        <w:t xml:space="preserve"> dans lequel il a rejeté la création d’une banque centrale nationale.</w:t>
        <w:footnoteReference w:id="130"/>
        <w:t xml:space="preserve"> Au lieu de cela, le Congrès a opté pour un système de réserve fédérale à trois fonctions composé de trois organes: un organe directeur central du conseil des gouverneurs, «une structure opérationnelle décentralisée» des douze banques de réserve, et le FOMC composé de tous les membres du conseil des gouverneurs et des présidents de toutes les banques de réserve.</w:t>
        <w:footnoteReference w:id="131"/>
      </w:r>
    </w:p>
    <w:p>
      <w:pPr>
        <w:pStyle w:val="Style24"/>
        <w:keepNext w:val="0"/>
        <w:keepLines w:val="0"/>
        <w:widowControl w:val="0"/>
        <w:shd w:val="clear" w:color="auto" w:fill="auto"/>
        <w:spacing w:before="0" w:after="1640"/>
        <w:ind w:left="0" w:right="0" w:firstLine="740"/>
        <w:jc w:val="left"/>
      </w:pPr>
      <w:r>
        <w:rPr>
          <w:rStyle w:val="CharStyle25"/>
        </w:rPr>
        <w:t xml:space="preserve">Le Congrès assure la supervision du Conseil des gouverneurs,</w:t>
        <w:footnoteReference w:id="132"/>
        <w:t xml:space="preserve"> dont les sept membres sont nommés par le président des États-Unis avec l'avis et le consentement du Sénat.</w:t>
        <w:footnoteReference w:id="133"/>
        <w:t xml:space="preserve"> Le Système fédéral de réserve, cependant, fonctionne en grande partie indépendamment des pouvoirs législatif et exécutif du gouvernement. </w:t>
        <w:footnoteReference w:id="134"/>
      </w:r>
    </w:p>
    <w:p>
      <w:pPr>
        <w:pStyle w:val="Style24"/>
        <w:keepNext w:val="0"/>
        <w:keepLines w:val="0"/>
        <w:widowControl w:val="0"/>
        <w:shd w:val="clear" w:color="auto" w:fill="auto"/>
        <w:spacing w:before="0" w:after="24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pStyle w:val="Style24"/>
        <w:keepNext w:val="0"/>
        <w:keepLines w:val="0"/>
        <w:widowControl w:val="0"/>
        <w:shd w:val="clear" w:color="auto" w:fill="auto"/>
        <w:spacing w:before="0" w:after="380" w:line="214" w:lineRule="auto"/>
        <w:ind w:left="340" w:right="0" w:firstLine="0"/>
        <w:jc w:val="left"/>
      </w:pPr>
      <w:r>
        <w:rPr>
          <w:rStyle w:val="CharStyle25"/>
          <w:color w:val="656361"/>
        </w:rPr>
        <w:t xml:space="preserve">Les rédacteurs de la Federal Reserve Act ont développé un système de banque centrale qui représenterait largement l'intérêt public.</w:t>
      </w:r>
    </w:p>
    <w:p>
      <w:pPr>
        <w:widowControl w:val="0"/>
        <w:jc w:val="center"/>
        <w:rPr>
          <w:sz w:val="2"/>
        </w:rPr>
      </w:pPr>
      <w:r>
        <w:drawing>
          <wp:inline>
            <wp:extent cx="201295" cy="146050"/>
            <wp:docPr id="10" name="Picutre 10"/>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a:stretch/>
                  </pic:blipFill>
                  <pic:spPr>
                    <a:xfrm>
                      <a:ext cx="201295" cy="146050"/>
                    </a:xfrm>
                    <a:prstGeom prst="rect"/>
                  </pic:spPr>
                </pic:pic>
              </a:graphicData>
            </a:graphic>
          </wp:inline>
        </w:drawing>
      </w:r>
    </w:p>
    <w:p>
      <w:pPr>
        <w:widowControl w:val="0"/>
        <w:spacing w:after="79" w:line="1" w:lineRule="exact"/>
      </w:pPr>
    </w:p>
    <w:p>
      <w:pPr>
        <w:widowControl w:val="0"/>
        <w:spacing w:line="1" w:lineRule="exact"/>
      </w:pPr>
    </w:p>
    <w:p>
      <w:pPr>
        <w:framePr w:w="9360" w:h="4445" w:wrap="notBeside" w:vAnchor="text" w:hAnchor="text" w:x="142" w:y="1"/>
        <w:widowControl w:val="0"/>
        <w:rPr>
          <w:sz w:val="2"/>
        </w:rPr>
      </w:pPr>
      <w:r>
        <w:drawing>
          <wp:inline>
            <wp:extent cx="5943600" cy="2822575"/>
            <wp:docPr id="11" name="Picutre 11"/>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a:stretch/>
                  </pic:blipFill>
                  <pic:spPr>
                    <a:xfrm>
                      <a:ext cx="5943600" cy="2822575"/>
                    </a:xfrm>
                    <a:prstGeom prst="rect"/>
                  </pic:spPr>
                </pic:pic>
              </a:graphicData>
            </a:graphic>
          </wp:inline>
        </w:drawing>
      </w:r>
    </w:p>
    <w:p>
      <w:pPr>
        <w:widowControl w:val="0"/>
        <w:spacing w:line="1" w:lineRule="exact"/>
      </w:pPr>
      <w:r>
        <mc:AlternateContent>
          <mc:Choice Requires="wps">
            <w:drawing>
              <wp:anchor distT="0" distB="0" distL="89535" distR="4750435" simplePos="0" relativeHeight="125829380" behindDoc="0" locked="0" layoutInCell="1" allowOverlap="1">
                <wp:simplePos x="0" y="0"/>
                <wp:positionH relativeFrom="column">
                  <wp:posOffset>2326640</wp:posOffset>
                </wp:positionH>
                <wp:positionV relativeFrom="paragraph">
                  <wp:posOffset>1789430</wp:posOffset>
                </wp:positionV>
                <wp:extent cx="1283335" cy="374650"/>
                <wp:wrapTopAndBottom/>
                <wp:docPr id="12" name="Forme 12"/>
                <a:graphic xmlns:a="http://schemas.openxmlformats.org/drawingml/2006/main">
                  <a:graphicData uri="http://schemas.microsoft.com/office/word/2010/wordprocessingShape">
                    <wps:wsp>
                      <wps:cNvSpPr txBox="1"/>
                      <wps:spPr>
                        <a:xfrm>
                          <a:ext cx="1283335" cy="374650"/>
                        </a:xfrm>
                        <a:prstGeom prst="rect"/>
                        <a:noFill/>
                      </wps:spPr>
                      <wps:txbx>
                        <w:txbxContent>
                          <w:p>
                            <w:pPr>
                              <w:pStyle w:val="Style27"/>
                              <w:keepNext w:val="0"/>
                              <w:keepLines w:val="0"/>
                              <w:widowControl w:val="0"/>
                              <w:shd w:val="clear" w:color="auto" w:fill="auto"/>
                              <w:spacing w:before="0" w:after="0" w:line="298" w:lineRule="auto"/>
                              <w:ind w:left="0" w:right="0" w:firstLine="0"/>
                              <w:jc w:val="center"/>
                            </w:pPr>
                            <w:r>
                              <w:rPr>
                                <w:rStyle w:val="CharStyle28"/>
                                <w:b/>
                                <w:color w:val="2B6160"/>
                                <w:sz w:val="16"/>
                              </w:rPr>
                              <w:t xml:space="preserve">Le CONSEIL DES GOUVERNEURS </w:t>
                            </w:r>
                            <w:r>
                              <w:rPr>
                                <w:rStyle w:val="CharStyle28"/>
                                <w:b/>
                              </w:rPr>
                              <w:t xml:space="preserve">est un organisme indépendant du gouvernement fédéral.</w:t>
                            </w:r>
                          </w:p>
                        </w:txbxContent>
                      </wps:txbx>
                      <wps:bodyPr lIns="0" tIns="0" rIns="0" bIns="0">
                        <a:noAutoFit/>
                      </wps:bodyPr>
                    </wps:wsp>
                  </a:graphicData>
                </a:graphic>
              </wp:anchor>
            </w:drawing>
          </mc:Choice>
        </mc:AlternateContent>
      </w:r>
      <w:r>
        <mc:AlternateContent>
          <mc:Choice Requires="wps">
            <w:drawing>
              <wp:anchor distT="0" distB="0" distL="89535" distR="4585970" simplePos="0" relativeHeight="125829382" behindDoc="0" locked="0" layoutInCell="1" allowOverlap="1">
                <wp:simplePos x="0" y="0"/>
                <wp:positionH relativeFrom="column">
                  <wp:posOffset>3908425</wp:posOffset>
                </wp:positionH>
                <wp:positionV relativeFrom="paragraph">
                  <wp:posOffset>1715770</wp:posOffset>
                </wp:positionV>
                <wp:extent cx="1447800" cy="502920"/>
                <wp:wrapTopAndBottom/>
                <wp:docPr id="14" name="Forme 14"/>
                <a:graphic xmlns:a="http://schemas.openxmlformats.org/drawingml/2006/main">
                  <a:graphicData uri="http://schemas.microsoft.com/office/word/2010/wordprocessingShape">
                    <wps:wsp>
                      <wps:cNvSpPr txBox="1"/>
                      <wps:spPr>
                        <a:xfrm>
                          <a:ext cx="1447800" cy="502920"/>
                        </a:xfrm>
                        <a:prstGeom prst="rect"/>
                        <a:noFill/>
                      </wps:spPr>
                      <wps:txbx>
                        <w:txbxContent>
                          <w:p>
                            <w:pPr>
                              <w:pStyle w:val="Style27"/>
                              <w:keepNext w:val="0"/>
                              <w:keepLines w:val="0"/>
                              <w:widowControl w:val="0"/>
                              <w:shd w:val="clear" w:color="auto" w:fill="auto"/>
                              <w:spacing w:before="0" w:after="0" w:line="314" w:lineRule="auto"/>
                              <w:ind w:left="0" w:right="0" w:firstLine="0"/>
                              <w:jc w:val="center"/>
                            </w:pPr>
                            <w:r>
                              <w:rPr>
                                <w:rStyle w:val="CharStyle28"/>
                                <w:b/>
                                <w:color w:val="2B6160"/>
                                <w:sz w:val="16"/>
                              </w:rPr>
                              <w:t xml:space="preserve">Les BANQUES FÉDÉRALES DE RÉSERVE </w:t>
                            </w:r>
                            <w:r>
                              <w:rPr>
                                <w:rStyle w:val="CharStyle28"/>
                                <w:b/>
                              </w:rPr>
                              <w:t xml:space="preserve">sont les branches opérationnelles du Système fédéral de réserve et sont supervisées par le Conseil des gouverneurs.</w:t>
                            </w:r>
                          </w:p>
                        </w:txbxContent>
                      </wps:txbx>
                      <wps:bodyPr lIns="0" tIns="0" rIns="0" bIns="0">
                        <a:noAutoFit/>
                      </wps:bodyPr>
                    </wps:wsp>
                  </a:graphicData>
                </a:graphic>
              </wp:anchor>
            </w:drawing>
          </mc:Choice>
        </mc:AlternateContent>
      </w:r>
      <w:r>
        <mc:AlternateContent>
          <mc:Choice Requires="wps">
            <w:drawing>
              <wp:anchor distT="0" distB="0" distL="89535" distR="4619625" simplePos="0" relativeHeight="125829384" behindDoc="0" locked="0" layoutInCell="1" allowOverlap="1">
                <wp:simplePos x="0" y="0"/>
                <wp:positionH relativeFrom="column">
                  <wp:posOffset>555625</wp:posOffset>
                </wp:positionH>
                <wp:positionV relativeFrom="paragraph">
                  <wp:posOffset>1469390</wp:posOffset>
                </wp:positionV>
                <wp:extent cx="1414145" cy="755650"/>
                <wp:wrapTopAndBottom/>
                <wp:docPr id="16" name="Forme 16"/>
                <a:graphic xmlns:a="http://schemas.openxmlformats.org/drawingml/2006/main">
                  <a:graphicData uri="http://schemas.microsoft.com/office/word/2010/wordprocessingShape">
                    <wps:wsp>
                      <wps:cNvSpPr txBox="1"/>
                      <wps:spPr>
                        <a:xfrm>
                          <a:ext cx="1414145" cy="755650"/>
                        </a:xfrm>
                        <a:prstGeom prst="rect"/>
                        <a:noFill/>
                      </wps:spPr>
                      <wps:txbx>
                        <w:txbxContent>
                          <w:p>
                            <w:pPr>
                              <w:pStyle w:val="Style27"/>
                              <w:keepNext w:val="0"/>
                              <w:keepLines w:val="0"/>
                              <w:widowControl w:val="0"/>
                              <w:shd w:val="clear" w:color="auto" w:fill="auto"/>
                              <w:spacing w:before="0" w:after="0" w:line="257" w:lineRule="auto"/>
                              <w:ind w:left="0" w:right="0" w:firstLine="0"/>
                              <w:jc w:val="center"/>
                              <w:rPr>
                                <w:sz w:val="16"/>
                              </w:rPr>
                            </w:pPr>
                            <w:r>
                              <w:rPr>
                                <w:rStyle w:val="CharStyle28"/>
                                <w:b/>
                                <w:sz w:val="16"/>
                              </w:rPr>
                              <w:t xml:space="preserve">COMITÉ FÉDÉRAL DU MARCHÉ OUVERT</w:t>
                            </w:r>
                          </w:p>
                          <w:p>
                            <w:pPr>
                              <w:pStyle w:val="Style27"/>
                              <w:keepNext w:val="0"/>
                              <w:keepLines w:val="0"/>
                              <w:widowControl w:val="0"/>
                              <w:shd w:val="clear" w:color="auto" w:fill="auto"/>
                              <w:spacing w:before="0" w:after="0" w:line="353" w:lineRule="auto"/>
                              <w:ind w:left="0" w:right="0" w:firstLine="0"/>
                              <w:jc w:val="center"/>
                            </w:pPr>
                            <w:r>
                              <w:rPr>
                                <w:rStyle w:val="CharStyle28"/>
                                <w:b/>
                              </w:rPr>
                              <w:t xml:space="preserve">se compose des membres du conseil des gouverneurs et des présidents des banques de réserve. Le président du conseil d'administration est le président du FOMC.</w:t>
                            </w:r>
                          </w:p>
                        </w:txbxContent>
                      </wps:txbx>
                      <wps:bodyPr lIns="0" tIns="0" rIns="0" bIns="0">
                        <a:noAutoFit/>
                      </wps:bodyPr>
                    </wps:wsp>
                  </a:graphicData>
                </a:graphic>
              </wp:anchor>
            </w:drawing>
          </mc:Choice>
        </mc:AlternateContent>
      </w:r>
      <w:r>
        <mc:AlternateContent>
          <mc:Choice Requires="wps">
            <w:drawing>
              <wp:anchor distT="0" distB="0" distL="89535" distR="4741545" simplePos="0" relativeHeight="125829386" behindDoc="0" locked="0" layoutInCell="1" allowOverlap="1">
                <wp:simplePos x="0" y="0"/>
                <wp:positionH relativeFrom="column">
                  <wp:posOffset>2320925</wp:posOffset>
                </wp:positionH>
                <wp:positionV relativeFrom="paragraph">
                  <wp:posOffset>414655</wp:posOffset>
                </wp:positionV>
                <wp:extent cx="1292225" cy="396240"/>
                <wp:wrapTopAndBottom/>
                <wp:docPr id="18" name="Forme 18"/>
                <a:graphic xmlns:a="http://schemas.openxmlformats.org/drawingml/2006/main">
                  <a:graphicData uri="http://schemas.microsoft.com/office/word/2010/wordprocessingShape">
                    <wps:wsp>
                      <wps:cNvSpPr txBox="1"/>
                      <wps:spPr>
                        <a:xfrm>
                          <a:ext cx="1292225" cy="396240"/>
                        </a:xfrm>
                        <a:prstGeom prst="rect"/>
                        <a:noFill/>
                      </wps:spPr>
                      <wps:txbx>
                        <w:txbxContent>
                          <w:p>
                            <w:pPr>
                              <w:pStyle w:val="Style27"/>
                              <w:keepNext w:val="0"/>
                              <w:keepLines w:val="0"/>
                              <w:widowControl w:val="0"/>
                              <w:shd w:val="clear" w:color="auto" w:fill="auto"/>
                              <w:spacing w:before="0" w:after="40" w:line="240" w:lineRule="auto"/>
                              <w:ind w:left="0" w:right="0" w:firstLine="0"/>
                              <w:jc w:val="center"/>
                              <w:rPr>
                                <w:sz w:val="16"/>
                              </w:rPr>
                            </w:pPr>
                            <w:r>
                              <w:rPr>
                                <w:rStyle w:val="CharStyle28"/>
                                <w:b/>
                                <w:sz w:val="16"/>
                              </w:rPr>
                              <w:t>CONGRES</w:t>
                            </w:r>
                          </w:p>
                          <w:p>
                            <w:pPr>
                              <w:pStyle w:val="Style27"/>
                              <w:keepNext w:val="0"/>
                              <w:keepLines w:val="0"/>
                              <w:widowControl w:val="0"/>
                              <w:shd w:val="clear" w:color="auto" w:fill="auto"/>
                              <w:spacing w:before="0" w:after="0" w:line="338" w:lineRule="auto"/>
                              <w:ind w:left="0" w:right="0" w:firstLine="0"/>
                              <w:jc w:val="center"/>
                            </w:pPr>
                            <w:r>
                              <w:rPr>
                                <w:rStyle w:val="CharStyle28"/>
                                <w:b/>
                              </w:rPr>
                              <w:t xml:space="preserve">supervise le Système fédéral de réserve et ses entités.</w:t>
                            </w:r>
                          </w:p>
                        </w:txbxContent>
                      </wps:txbx>
                      <wps:bodyPr lIns="0" tIns="0" rIns="0" bIns="0">
                        <a:noAutoFit/>
                      </wps:bodyPr>
                    </wps:wsp>
                  </a:graphicData>
                </a:graphic>
              </wp:anchor>
            </w:drawing>
          </mc:Choice>
        </mc:AlternateConten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Le Système fédéral de réserve exécute cinq fonctions essentielles dans l'intérêt public. Les fonctions liées à la pandémie de COVID-19 sont les suivantes:</w:t>
      </w:r>
    </w:p>
    <w:p>
      <w:pPr>
        <w:pStyle w:val="Style24"/>
        <w:keepNext w:val="0"/>
        <w:keepLines w:val="0"/>
        <w:widowControl w:val="0"/>
        <w:shd w:val="clear" w:color="auto" w:fill="auto"/>
        <w:spacing w:before="0" w:after="280"/>
        <w:ind w:left="0" w:right="0" w:firstLine="0"/>
        <w:jc w:val="left"/>
      </w:pPr>
      <w:r>
        <w:rPr>
          <w:rStyle w:val="CharStyle25"/>
          <w:u w:val="single"/>
        </w:rPr>
        <w:t xml:space="preserve">Conduite de la politique monétaire nationale</w:t>
      </w:r>
    </w:p>
    <w:p>
      <w:pPr>
        <w:pStyle w:val="Style24"/>
        <w:keepNext w:val="0"/>
        <w:keepLines w:val="0"/>
        <w:widowControl w:val="0"/>
        <w:shd w:val="clear" w:color="auto" w:fill="auto"/>
        <w:spacing w:before="0" w:after="1080"/>
        <w:ind w:left="0" w:right="0" w:firstLine="740"/>
        <w:jc w:val="left"/>
      </w:pPr>
      <w:r>
        <w:rPr>
          <w:rStyle w:val="CharStyle25"/>
        </w:rPr>
        <w:t xml:space="preserve">Dans une modification de 1977 de la loi sur la Réserve fédérale, le Congrès a mis à jour le mandat de la Réserve fédérale, à savoir que les deux organes de décision, le Conseil des gouverneurs et le FOMC, promeuvent spécifiquement les objectifs «d’emploi maximal, de prix stables et de taux d’intérêt à long terme modérés».</w:t>
        <w:footnoteReference w:id="135"/>
        <w:t xml:space="preserve"> Le principal outil de politique monétaire utilisé par la Réserve fédérale pour mettre en œuvre son mandat est le taux des fonds fédéraux, souvent appelé taux débiteur bancaire au jour le jour.</w:t>
        <w:footnoteReference w:id="136"/>
        <w:t xml:space="preserve"> La Réserve fédérale prend des décisions politiques pour ajuster ce taux afin de gérer les conditions financières, en réduisant les taux d'intérêt pour stimuler l'activité économique pendant les ralentissements économiques et en augmentant les taux d'intérêt pour refroidir une économie en surchauffe et freiner l'inflation.</w:t>
      </w:r>
    </w:p>
    <w:p>
      <w:pPr>
        <w:pStyle w:val="Style24"/>
        <w:keepNext w:val="0"/>
        <w:keepLines w:val="0"/>
        <w:widowControl w:val="0"/>
        <w:shd w:val="clear" w:color="auto" w:fill="auto"/>
        <w:spacing w:before="0" w:after="280" w:line="240" w:lineRule="auto"/>
        <w:ind w:left="0" w:right="0" w:firstLine="0"/>
        <w:jc w:val="center"/>
        <w:sectPr>
          <w:footerReference w:type="default" r:id="rId23"/>
          <w:footnotePr>
            <w:pos w:val="pageBottom"/>
            <w:numFmt w:val="decimal"/>
            <w:numStart w:val="1448"/>
            <w:numRestart w:val="continuous"/>
            <w15:footnoteColumns w:val="1"/>
          </w:footnotePr>
          <w:pgSz w:w="12485" w:h="16357"/>
          <w:pgMar w:top="1593" w:right="1445" w:bottom="1569" w:left="1397" w:header="1165" w:footer="3" w:gutter="0"/>
          <w:pgNumType w:start="364"/>
          <w:cols w:space="720"/>
          <w:noEndnote/>
          <w:rtlGutter w:val="0"/>
          <w:docGrid w:linePitch="360"/>
        </w:sectPr>
      </w:pPr>
      <w:r>
        <w:rPr>
          <w:rStyle w:val="CharStyle25"/>
        </w:rPr>
        <w:t xml:space="preserve">[REMAINDER OF PAGE INTENTIONALLY BLANK]</w:t>
      </w:r>
    </w:p>
    <w:p>
      <w:pPr>
        <w:pStyle w:val="Style24"/>
        <w:keepNext w:val="0"/>
        <w:keepLines w:val="0"/>
        <w:widowControl w:val="0"/>
        <w:shd w:val="clear" w:color="auto" w:fill="auto"/>
        <w:spacing w:before="0" w:after="0" w:line="209" w:lineRule="auto"/>
        <w:ind w:left="340" w:right="0" w:firstLine="0"/>
        <w:jc w:val="left"/>
      </w:pPr>
      <w:r>
        <w:rPr>
          <w:rStyle w:val="CharStyle25"/>
          <w:color w:val="656361"/>
        </w:rPr>
        <w:t xml:space="preserve">La Réserve fédérale mène la politique monétaire dans la poursuite des objectifs qui lui ont été fixés par le Congrès. Les objectifs prescrits sont considérés comme essentiels au bon fonctionnement de l'économie pour les ménages et les entreprises.</w:t>
      </w:r>
    </w:p>
    <w:p>
      <w:pPr>
        <w:widowControl w:val="0"/>
        <w:spacing w:line="1" w:lineRule="exact"/>
        <w:sectPr>
          <w:footnotePr>
            <w:pos w:val="pageBottom"/>
            <w:numFmt w:val="decimal"/>
            <w:numStart w:val="1448"/>
            <w:numRestart w:val="continuous"/>
            <w15:footnoteColumns w:val="1"/>
          </w:footnotePr>
          <w:pgSz w:w="12485" w:h="16357"/>
          <w:pgMar w:top="1842" w:right="1572" w:bottom="1498" w:left="1534" w:header="1414" w:footer="3" w:gutter="0"/>
          <w:cols w:space="720"/>
          <w:noEndnote/>
          <w:rtlGutter w:val="0"/>
          <w:docGrid w:linePitch="360"/>
        </w:sectPr>
      </w:pPr>
      <w:r>
        <w:drawing>
          <wp:anchor distT="127000" distB="615315" distL="0" distR="0" simplePos="0" relativeHeight="125829388" behindDoc="0" locked="0" layoutInCell="1" allowOverlap="1">
            <wp:simplePos x="0" y="0"/>
            <wp:positionH relativeFrom="page">
              <wp:posOffset>1205230</wp:posOffset>
            </wp:positionH>
            <wp:positionV relativeFrom="paragraph">
              <wp:posOffset>127000</wp:posOffset>
            </wp:positionV>
            <wp:extent cx="633730" cy="536575"/>
            <wp:wrapTopAndBottom/>
            <wp:docPr id="22" name="Forme 22"/>
            <a:graphic xmlns:a="http://schemas.openxmlformats.org/drawingml/2006/main">
              <a:graphicData uri="http://schemas.openxmlformats.org/drawingml/2006/picture">
                <pic:pic xmlns:pic="http://schemas.openxmlformats.org/drawingml/2006/picture">
                  <pic:nvPicPr>
                    <pic:cNvPr id="23" name="Boîte à images 23"/>
                    <pic:cNvPicPr/>
                  </pic:nvPicPr>
                  <pic:blipFill>
                    <a:blip r:embed="rId24"/>
                    <a:stretch/>
                  </pic:blipFill>
                  <pic:spPr>
                    <a:xfrm>
                      <a:ext cx="633730" cy="53657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1235710</wp:posOffset>
                </wp:positionH>
                <wp:positionV relativeFrom="paragraph">
                  <wp:posOffset>721360</wp:posOffset>
                </wp:positionV>
                <wp:extent cx="570230" cy="301625"/>
                <wp:wrapNone/>
                <wp:docPr id="24" name="Forme 24"/>
                <a:graphic xmlns:a="http://schemas.openxmlformats.org/drawingml/2006/main">
                  <a:graphicData uri="http://schemas.microsoft.com/office/word/2010/wordprocessingShape">
                    <wps:wsp>
                      <wps:cNvSpPr txBox="1"/>
                      <wps:spPr>
                        <a:xfrm>
                          <a:ext cx="570230" cy="301625"/>
                        </a:xfrm>
                        <a:prstGeom prst="rect"/>
                        <a:noFill/>
                      </wps:spPr>
                      <wps:txbx>
                        <w:txbxContent>
                          <w:p>
                            <w:pPr>
                              <w:pStyle w:val="Style27"/>
                              <w:keepNext w:val="0"/>
                              <w:keepLines w:val="0"/>
                              <w:widowControl w:val="0"/>
                              <w:shd w:val="clear" w:color="auto" w:fill="auto"/>
                              <w:spacing w:before="0" w:after="0" w:line="394" w:lineRule="auto"/>
                              <w:ind w:left="0" w:right="0" w:firstLine="0"/>
                              <w:jc w:val="left"/>
                            </w:pPr>
                            <w:r>
                              <w:rPr>
                                <w:rStyle w:val="CharStyle28"/>
                                <w:b/>
                              </w:rPr>
                              <w:t xml:space="preserve">Décision de politique monétaire du FOMC</w:t>
                            </w:r>
                          </w:p>
                        </w:txbxContent>
                      </wps:txbx>
                      <wps:bodyPr lIns="0" tIns="0" rIns="0" bIns="0">
                        <a:noAutoFit/>
                      </wps:bodyPr>
                    </wps:wsp>
                  </a:graphicData>
                </a:graphic>
              </wp:anchor>
            </w:drawing>
          </mc:Choice>
        </mc:AlternateContent>
      </w:r>
      <w:r>
        <w:drawing>
          <wp:anchor distT="151130" distB="588010" distL="0" distR="91440" simplePos="0" relativeHeight="125829389" behindDoc="0" locked="0" layoutInCell="1" allowOverlap="1">
            <wp:simplePos x="0" y="0"/>
            <wp:positionH relativeFrom="page">
              <wp:posOffset>1933575</wp:posOffset>
            </wp:positionH>
            <wp:positionV relativeFrom="paragraph">
              <wp:posOffset>151130</wp:posOffset>
            </wp:positionV>
            <wp:extent cx="3493135" cy="542290"/>
            <wp:wrapTopAndBottom/>
            <wp:docPr id="26" name="Forme 26"/>
            <a:graphic xmlns:a="http://schemas.openxmlformats.org/drawingml/2006/main">
              <a:graphicData uri="http://schemas.openxmlformats.org/drawingml/2006/picture">
                <pic:pic xmlns:pic="http://schemas.openxmlformats.org/drawingml/2006/picture">
                  <pic:nvPicPr>
                    <pic:cNvPr id="27" name="Boîte à images 27"/>
                    <pic:cNvPicPr/>
                  </pic:nvPicPr>
                  <pic:blipFill>
                    <a:blip r:embed="rId26"/>
                    <a:stretch/>
                  </pic:blipFill>
                  <pic:spPr>
                    <a:xfrm>
                      <a:ext cx="3493135" cy="542290"/>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2439670</wp:posOffset>
                </wp:positionH>
                <wp:positionV relativeFrom="paragraph">
                  <wp:posOffset>721360</wp:posOffset>
                </wp:positionV>
                <wp:extent cx="722630" cy="433070"/>
                <wp:wrapNone/>
                <wp:docPr id="28" name="Forme 28"/>
                <a:graphic xmlns:a="http://schemas.openxmlformats.org/drawingml/2006/main">
                  <a:graphicData uri="http://schemas.microsoft.com/office/word/2010/wordprocessingShape">
                    <wps:wsp>
                      <wps:cNvSpPr txBox="1"/>
                      <wps:spPr>
                        <a:xfrm>
                          <a:ext cx="722630" cy="433070"/>
                        </a:xfrm>
                        <a:prstGeom prst="rect"/>
                        <a:noFill/>
                      </wps:spPr>
                      <wps:txbx>
                        <w:txbxContent>
                          <w:p>
                            <w:pPr>
                              <w:pStyle w:val="Style27"/>
                              <w:keepNext w:val="0"/>
                              <w:keepLines w:val="0"/>
                              <w:widowControl w:val="0"/>
                              <w:shd w:val="clear" w:color="auto" w:fill="auto"/>
                              <w:spacing w:before="0" w:after="0" w:line="396" w:lineRule="auto"/>
                              <w:ind w:left="0" w:right="0" w:firstLine="0"/>
                              <w:jc w:val="left"/>
                            </w:pPr>
                            <w:r>
                              <w:rPr>
                                <w:rStyle w:val="CharStyle28"/>
                                <w:b/>
                              </w:rPr>
                              <w:t xml:space="preserve">Affecte les taux d'intérêt à court terme actuels et prévus</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486" behindDoc="0" locked="0" layoutInCell="1" allowOverlap="1">
                <wp:simplePos x="0" y="0"/>
                <wp:positionH relativeFrom="page">
                  <wp:posOffset>3509645</wp:posOffset>
                </wp:positionH>
                <wp:positionV relativeFrom="paragraph">
                  <wp:posOffset>727075</wp:posOffset>
                </wp:positionV>
                <wp:extent cx="826135" cy="304800"/>
                <wp:wrapNone/>
                <wp:docPr id="30" name="Forme 30"/>
                <a:graphic xmlns:a="http://schemas.openxmlformats.org/drawingml/2006/main">
                  <a:graphicData uri="http://schemas.microsoft.com/office/word/2010/wordprocessingShape">
                    <wps:wsp>
                      <wps:cNvSpPr txBox="1"/>
                      <wps:spPr>
                        <a:xfrm>
                          <a:ext cx="826135" cy="304800"/>
                        </a:xfrm>
                        <a:prstGeom prst="rect"/>
                        <a:noFill/>
                      </wps:spPr>
                      <wps:txbx>
                        <w:txbxContent>
                          <w:p>
                            <w:pPr>
                              <w:pStyle w:val="Style27"/>
                              <w:keepNext w:val="0"/>
                              <w:keepLines w:val="0"/>
                              <w:widowControl w:val="0"/>
                              <w:shd w:val="clear" w:color="auto" w:fill="auto"/>
                              <w:spacing w:before="0" w:after="0" w:line="401" w:lineRule="auto"/>
                              <w:ind w:left="0" w:right="0" w:firstLine="0"/>
                              <w:jc w:val="left"/>
                            </w:pPr>
                            <w:r>
                              <w:rPr>
                                <w:rStyle w:val="CharStyle28"/>
                                <w:b/>
                              </w:rPr>
                              <w:t xml:space="preserve">Affecte les conditions financières globales</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488" behindDoc="0" locked="0" layoutInCell="1" allowOverlap="1">
                <wp:simplePos x="0" y="0"/>
                <wp:positionH relativeFrom="page">
                  <wp:posOffset>4783455</wp:posOffset>
                </wp:positionH>
                <wp:positionV relativeFrom="paragraph">
                  <wp:posOffset>727075</wp:posOffset>
                </wp:positionV>
                <wp:extent cx="734695" cy="433070"/>
                <wp:wrapNone/>
                <wp:docPr id="32" name="Forme 32"/>
                <a:graphic xmlns:a="http://schemas.openxmlformats.org/drawingml/2006/main">
                  <a:graphicData uri="http://schemas.microsoft.com/office/word/2010/wordprocessingShape">
                    <wps:wsp>
                      <wps:cNvSpPr txBox="1"/>
                      <wps:spPr>
                        <a:xfrm>
                          <a:ext cx="734695" cy="433070"/>
                        </a:xfrm>
                        <a:prstGeom prst="rect"/>
                        <a:noFill/>
                      </wps:spPr>
                      <wps:txbx>
                        <w:txbxContent>
                          <w:p>
                            <w:pPr>
                              <w:pStyle w:val="Style27"/>
                              <w:keepNext w:val="0"/>
                              <w:keepLines w:val="0"/>
                              <w:widowControl w:val="0"/>
                              <w:shd w:val="clear" w:color="auto" w:fill="auto"/>
                              <w:spacing w:before="0" w:after="0" w:line="394" w:lineRule="auto"/>
                              <w:ind w:left="0" w:right="0" w:firstLine="0"/>
                              <w:jc w:val="left"/>
                            </w:pPr>
                            <w:r>
                              <w:rPr>
                                <w:rStyle w:val="CharStyle28"/>
                                <w:b/>
                              </w:rPr>
                              <w:t xml:space="preserve">Influence les décisions des ménages et des entreprises</w:t>
                            </w:r>
                          </w:p>
                        </w:txbxContent>
                      </wps:txbx>
                      <wps:bodyPr lIns="0" tIns="0" rIns="0" bIns="0">
                        <a:noAutoFit/>
                      </wps:bodyPr>
                    </wps:wsp>
                  </a:graphicData>
                </a:graphic>
              </wp:anchor>
            </w:drawing>
          </mc:Choice>
        </mc:AlternateContent>
      </w:r>
      <w:r>
        <w:drawing>
          <wp:anchor distT="257810" distB="636905" distL="0" distR="69850" simplePos="0" relativeHeight="125829390" behindDoc="0" locked="0" layoutInCell="1" allowOverlap="1">
            <wp:simplePos x="0" y="0"/>
            <wp:positionH relativeFrom="page">
              <wp:posOffset>5588000</wp:posOffset>
            </wp:positionH>
            <wp:positionV relativeFrom="paragraph">
              <wp:posOffset>257810</wp:posOffset>
            </wp:positionV>
            <wp:extent cx="920750" cy="384175"/>
            <wp:wrapTopAndBottom/>
            <wp:docPr id="34" name="Forme 34"/>
            <a:graphic xmlns:a="http://schemas.openxmlformats.org/drawingml/2006/main">
              <a:graphicData uri="http://schemas.openxmlformats.org/drawingml/2006/picture">
                <pic:pic xmlns:pic="http://schemas.openxmlformats.org/drawingml/2006/picture">
                  <pic:nvPicPr>
                    <pic:cNvPr id="35" name="Boîte à images 35"/>
                    <pic:cNvPicPr/>
                  </pic:nvPicPr>
                  <pic:blipFill>
                    <a:blip r:embed="rId28"/>
                    <a:stretch/>
                  </pic:blipFill>
                  <pic:spPr>
                    <a:xfrm>
                      <a:ext cx="920750" cy="38417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5969000</wp:posOffset>
                </wp:positionH>
                <wp:positionV relativeFrom="paragraph">
                  <wp:posOffset>721360</wp:posOffset>
                </wp:positionV>
                <wp:extent cx="609600" cy="557530"/>
                <wp:wrapNone/>
                <wp:docPr id="36" name="Forme 36"/>
                <a:graphic xmlns:a="http://schemas.openxmlformats.org/drawingml/2006/main">
                  <a:graphicData uri="http://schemas.microsoft.com/office/word/2010/wordprocessingShape">
                    <wps:wsp>
                      <wps:cNvSpPr txBox="1"/>
                      <wps:spPr>
                        <a:xfrm>
                          <a:ext cx="609600" cy="557530"/>
                        </a:xfrm>
                        <a:prstGeom prst="rect"/>
                        <a:noFill/>
                      </wps:spPr>
                      <wps:txbx>
                        <w:txbxContent>
                          <w:p>
                            <w:pPr>
                              <w:pStyle w:val="Style27"/>
                              <w:keepNext w:val="0"/>
                              <w:keepLines w:val="0"/>
                              <w:widowControl w:val="0"/>
                              <w:shd w:val="clear" w:color="auto" w:fill="auto"/>
                              <w:spacing w:before="0" w:after="0" w:line="389" w:lineRule="auto"/>
                              <w:ind w:left="0" w:right="0" w:firstLine="0"/>
                              <w:jc w:val="left"/>
                            </w:pPr>
                            <w:r>
                              <w:rPr>
                                <w:rStyle w:val="CharStyle28"/>
                                <w:b/>
                              </w:rPr>
                              <w:t xml:space="preserve">Progrès vers un maximum d'emplois et des prix stables</w:t>
                            </w:r>
                          </w:p>
                        </w:txbxContent>
                      </wps:txbx>
                      <wps:bodyPr lIns="0" tIns="0" rIns="0" bIns="0">
                        <a:noAutoFit/>
                      </wps:bodyPr>
                    </wps:wsp>
                  </a:graphicData>
                </a:graphic>
              </wp:anchor>
            </w:drawing>
          </mc:Choice>
        </mc:AlternateContent>
      </w:r>
    </w:p>
    <w:p>
      <w:pPr>
        <w:widowControl w:val="0"/>
        <w:spacing w:line="240" w:lineRule="exact"/>
        <w:rPr>
          <w:sz w:val="19"/>
        </w:rPr>
      </w:pPr>
    </w:p>
    <w:p>
      <w:pPr>
        <w:widowControl w:val="0"/>
        <w:spacing w:before="7" w:after="7" w:line="240" w:lineRule="exact"/>
        <w:rPr>
          <w:sz w:val="19"/>
        </w:rPr>
      </w:pPr>
    </w:p>
    <w:p>
      <w:pPr>
        <w:widowControl w:val="0"/>
        <w:spacing w:line="1" w:lineRule="exact"/>
        <w:sectPr>
          <w:footnotePr>
            <w:pos w:val="pageBottom"/>
            <w:numFmt w:val="decimal"/>
            <w:numStart w:val="1448"/>
            <w:numRestart w:val="continuous"/>
            <w15:footnoteColumns w:val="1"/>
          </w:footnotePr>
          <w:type w:val="continuous"/>
          <w:pgSz w:w="12485" w:h="16357"/>
          <w:pgMar w:top="1665" w:right="0" w:bottom="1546" w:left="0" w:header="0" w:footer="3" w:gutter="0"/>
          <w:cols w:space="720"/>
          <w:noEndnote/>
          <w:rtlGutter w:val="0"/>
          <w:docGrid w:linePitch="360"/>
        </w:sectPr>
      </w:pPr>
    </w:p>
    <w:p>
      <w:pPr>
        <w:pStyle w:val="Style24"/>
        <w:keepNext w:val="0"/>
        <w:keepLines w:val="0"/>
        <w:widowControl w:val="0"/>
        <w:shd w:val="clear" w:color="auto" w:fill="auto"/>
        <w:spacing w:before="0"/>
        <w:ind w:left="0" w:right="0" w:firstLine="740"/>
        <w:jc w:val="left"/>
      </w:pPr>
      <w:r>
        <w:rPr>
          <w:rStyle w:val="CharStyle25"/>
        </w:rPr>
        <w:t xml:space="preserve">En plus d'ajuster le taux des fonds fédéraux, la Réserve fédérale utilise les opérations d'open market comme un outil pour mettre en œuvre la politique monétaire.</w:t>
        <w:footnoteReference w:id="137"/>
        <w:t xml:space="preserve"> Cela se produit lorsque le FOMC ordonne à l'Open Market Desk de la Federal Reserve Bank de New York d'acheter ou de vendre de manière permanente ou temporaire des titres d'État sur le marché libre afin d'influencer l'offre de monnaie en augmentant ou en diminuant les réserves dans le système bancaire, respectivement.</w:t>
        <w:footnoteReference w:id="138"/>
        <w:t xml:space="preserve"> Ces opérations aident également à contrôler les taux d'intérêt à court terme et la quantité d'argent en circulation.</w:t>
      </w:r>
    </w:p>
    <w:p>
      <w:pPr>
        <w:pStyle w:val="Style24"/>
        <w:keepNext w:val="0"/>
        <w:keepLines w:val="0"/>
        <w:widowControl w:val="0"/>
        <w:shd w:val="clear" w:color="auto" w:fill="auto"/>
        <w:spacing w:before="0"/>
        <w:ind w:left="0" w:right="0" w:firstLine="740"/>
        <w:jc w:val="left"/>
      </w:pPr>
      <w:r>
        <w:rPr>
          <w:rStyle w:val="CharStyle25"/>
        </w:rPr>
        <w:t xml:space="preserve">Au-delà de l’ajustement des taux d’intérêt à court terme et des opérations d’open market, la Réserve fédérale utilisera l’assouplissement quantitatif [ci-après l’«assouplissement quantitatif»] comme outil de politique monétaire pour stimuler l’économie lorsque les méthodes traditionnelles, telles que la baisse des taux d’intérêt à court terme, deviennent inefficaces, généralement en période de taux d’intérêt très bas ou proches de zéro.</w:t>
        <w:footnoteReference w:id="139"/>
        <w:t xml:space="preserve"> L’assouplissement quantitatif implique l’achat à grande échelle d’actifs financiers par la Réserve fédérale, en particulier de titres d’État tels que les bons du Trésor américain, ainsi que de titres adossés à des créances hypothécaires [ci-après les «MBS»]. L'objectif est d'injecter des liquidités dans l'économie, d'abaisser les taux d'intérêt à long terme et d'encourager les prêts et les investissements.</w:t>
        <w:footnoteReference w:id="140"/>
        <w:t xml:space="preserve"> Lorsque la Réserve fédérale achète de grandes quantités de titres d'État et de titres adossés à des hypothèques auprès de banques et d'autres institutions financières, elle augmente la demande de ces titres, ce qui augmente leurs prix et diminue leurs rendements (taux d'intérêt). QE envoie un message puissant aux marchés financiers que la Réserve fédérale s'est engagée à soutenir l'économie, ce qui renforce également la confiance des investisseurs, des entreprises et des consommateurs.</w:t>
        <w:footnoteReference w:id="141"/>
      </w:r>
    </w:p>
    <w:p>
      <w:pPr>
        <w:pStyle w:val="Style24"/>
        <w:keepNext w:val="0"/>
        <w:keepLines w:val="0"/>
        <w:widowControl w:val="0"/>
        <w:shd w:val="clear" w:color="auto" w:fill="auto"/>
        <w:spacing w:before="0"/>
        <w:ind w:left="0" w:right="0" w:firstLine="740"/>
        <w:jc w:val="left"/>
      </w:pPr>
      <w:r>
        <w:rPr>
          <w:rStyle w:val="CharStyle25"/>
        </w:rPr>
        <w:t xml:space="preserve">Enfin, la Réserve fédérale utilise également un outil appelé «forward guidance» pour mener sa politique monétaire. Le Forward guidance est un outil de communication utilisé par les banques centrales, y compris la Réserve fédérale, pour fournir des informations au public et aux marchés financiers sur la trajectoire future de la politique monétaire, en particulier les taux d'intérêt.</w:t>
        <w:footnoteReference w:id="142"/>
        <w:t xml:space="preserve"> L'objectif de la forward guidance est d'influencer les attentes et le comportement en donnant des indications claires sur ce que la banque centrale prévoit de faire à l'avenir, ce qui peut aider à stabiliser l'économie et à atteindre des objectifs politiques tels que la stabilité</w:t>
        <w:br w:type="page"/>
        <w:t xml:space="preserve">des prix et le plein emploi.</w:t>
        <w:footnoteReference w:id="143"/>
        <w:t xml:space="preserve"> Pendant les crises économiques, telles que la crise financière de 2008 ou la pandémie de COVID-19, la Fed a utilisé la forward guidance pour rassurer les marchés et le public sur le fait qu'elle maintiendrait des politiques accommodantes (par exemple, des taux d'intérêt bas) pour soutenir la reprise économique.</w:t>
      </w:r>
    </w:p>
    <w:p>
      <w:pPr>
        <w:pStyle w:val="Style24"/>
        <w:keepNext w:val="0"/>
        <w:keepLines w:val="0"/>
        <w:widowControl w:val="0"/>
        <w:shd w:val="clear" w:color="auto" w:fill="auto"/>
        <w:spacing w:before="0" w:line="240" w:lineRule="auto"/>
        <w:ind w:left="0" w:right="0" w:firstLine="0"/>
        <w:jc w:val="left"/>
      </w:pPr>
      <w:r>
        <w:rPr>
          <w:rStyle w:val="CharStyle25"/>
          <w:u w:val="single"/>
        </w:rPr>
        <w:t xml:space="preserve">Maintenir la stabilité du système financier</w:t>
      </w:r>
    </w:p>
    <w:p>
      <w:pPr>
        <w:pStyle w:val="Style24"/>
        <w:keepNext w:val="0"/>
        <w:keepLines w:val="0"/>
        <w:widowControl w:val="0"/>
        <w:shd w:val="clear" w:color="auto" w:fill="auto"/>
        <w:spacing w:before="0" w:after="420"/>
        <w:ind w:left="0" w:right="0" w:firstLine="740"/>
        <w:jc w:val="left"/>
      </w:pPr>
      <w:r>
        <w:rPr>
          <w:rStyle w:val="CharStyle25"/>
        </w:rPr>
        <w:t xml:space="preserve">«Un système financier est considéré comme stable lorsque les institutions financières – banques, épargne et prêts et autres fournisseurs de produits et services financiers – et les marchés financiers sont en mesure de fournir aux ménages, aux communautés et aux entreprises les ressources, les services et les produits dont ils ont besoin pour investir, se développer et participer au bon fonctionnement de l’économie.»</w:t>
        <w:footnoteReference w:id="144"/>
        <w:t xml:space="preserve"> En d’autres termes, un système financier stable relie efficacement les épargnants et les prêteurs individuels et institutionnels aux emprunteurs et aux dépensiers.</w:t>
      </w:r>
    </w:p>
    <w:p>
      <w:pPr>
        <w:pStyle w:val="Style24"/>
        <w:keepNext w:val="0"/>
        <w:keepLines w:val="0"/>
        <w:widowControl w:val="0"/>
        <w:shd w:val="clear" w:color="auto" w:fill="auto"/>
        <w:spacing w:before="0" w:after="224" w:line="202" w:lineRule="auto"/>
        <w:ind w:left="360" w:right="0" w:firstLine="20"/>
        <w:jc w:val="left"/>
      </w:pPr>
      <w:r>
        <w:rPr>
          <w:rStyle w:val="CharStyle25"/>
          <w:color w:val="656361"/>
        </w:rPr>
        <w:t xml:space="preserve">Les principaux participants au système financier américain et mondial comprennent les prêteurs et les épargnants qui sont jumelés aux emprunteurs et aux dépensiers par l'intermédiaire de divers marchés et intermédiaires. La Réserve fédérale surveille le système financier pour s'assurer que les liens entre les entités fonctionnent correctement et ajuste son élaboration des politiques ou son engagement avec d'autres décideurs pour répondre à toute préoccupation émergente.</w:t>
      </w:r>
    </w:p>
    <w:p>
      <w:pPr>
        <w:pStyle w:val="Style54"/>
        <w:keepNext/>
        <w:keepLines/>
        <w:widowControl w:val="0"/>
        <w:pBdr>
          <w:top w:val="single" w:sz="0" w:space="5" w:color="B56633"/>
          <w:left w:val="single" w:sz="0" w:space="0" w:color="B56633"/>
          <w:bottom w:val="single" w:sz="0" w:space="4" w:color="B56633"/>
          <w:right w:val="single" w:sz="0" w:space="0" w:color="B56633"/>
        </w:pBdr>
        <w:shd w:val="clear" w:color="auto" w:fill="B56633"/>
        <w:spacing w:before="0" w:after="0" w:line="240" w:lineRule="auto"/>
        <w:ind w:left="0" w:right="0" w:firstLine="0"/>
        <w:jc w:val="center"/>
      </w:pPr>
      <w:bookmarkStart w:id="8" w:name="bookmark8"/>
      <w:r>
        <w:rPr>
          <w:rStyle w:val="CharStyle55"/>
          <w:b/>
        </w:rPr>
        <w:t xml:space="preserve">Financement indirect</w:t>
      </w:r>
      <w:bookmarkEnd w:id="8"/>
    </w:p>
    <w:p>
      <w:pPr>
        <w:pStyle w:val="Style24"/>
        <w:keepNext w:val="0"/>
        <w:keepLines w:val="0"/>
        <w:widowControl w:val="0"/>
        <w:shd w:val="clear" w:color="auto" w:fill="auto"/>
        <w:spacing w:before="0" w:after="387" w:line="240" w:lineRule="auto"/>
        <w:ind w:left="0" w:right="0" w:firstLine="0"/>
        <w:jc w:val="center"/>
      </w:pPr>
      <w:r>
        <w:rPr>
          <w:rStyle w:val="CharStyle25"/>
          <w:color w:val="656361"/>
        </w:rPr>
        <w:t xml:space="preserve">Intermédiaires financiers</w:t>
      </w:r>
    </w:p>
    <w:p>
      <w:pPr>
        <w:pStyle w:val="Style24"/>
        <w:keepNext w:val="0"/>
        <w:keepLines w:val="0"/>
        <w:widowControl w:val="0"/>
        <w:pBdr>
          <w:top w:val="single" w:sz="0" w:space="9" w:color="066295"/>
          <w:left w:val="single" w:sz="0" w:space="0" w:color="066295"/>
          <w:bottom w:val="single" w:sz="0" w:space="11" w:color="066295"/>
          <w:right w:val="single" w:sz="0" w:space="0" w:color="066295"/>
        </w:pBdr>
        <w:shd w:val="clear" w:color="auto" w:fill="066295"/>
        <w:spacing w:before="0" w:after="238" w:line="192" w:lineRule="auto"/>
        <w:ind w:left="0" w:right="0" w:firstLine="0"/>
        <w:jc w:val="center"/>
      </w:pPr>
      <w:r>
        <mc:AlternateContent>
          <mc:Choice Requires="wps">
            <w:drawing>
              <wp:anchor distT="0" distB="423545" distL="300355" distR="302895" simplePos="0" relativeHeight="125829391" behindDoc="0" locked="0" layoutInCell="1" allowOverlap="1">
                <wp:simplePos x="0" y="0"/>
                <wp:positionH relativeFrom="page">
                  <wp:posOffset>1434465</wp:posOffset>
                </wp:positionH>
                <wp:positionV relativeFrom="margin">
                  <wp:posOffset>4030980</wp:posOffset>
                </wp:positionV>
                <wp:extent cx="624840" cy="448310"/>
                <wp:wrapSquare wrapText="right"/>
                <wp:docPr id="38" name="Forme 38"/>
                <a:graphic xmlns:a="http://schemas.openxmlformats.org/drawingml/2006/main">
                  <a:graphicData uri="http://schemas.microsoft.com/office/word/2010/wordprocessingShape">
                    <wps:wsp>
                      <wps:cNvSpPr txBox="1"/>
                      <wps:spPr>
                        <a:xfrm>
                          <a:ext cx="624840" cy="448310"/>
                        </a:xfrm>
                        <a:prstGeom prst="rect"/>
                        <a:solidFill>
                          <a:srgbClr val="036294"/>
                        </a:solidFill>
                      </wps:spPr>
                      <wps:txbx>
                        <w:txbxContent>
                          <w:p>
                            <w:pPr>
                              <w:pStyle w:val="Style24"/>
                              <w:keepNext w:val="0"/>
                              <w:keepLines w:val="0"/>
                              <w:widowControl w:val="0"/>
                              <w:pBdr>
                                <w:top w:val="single" w:sz="0" w:space="0" w:color="056393"/>
                                <w:left w:val="single" w:sz="0" w:space="0" w:color="056393"/>
                                <w:bottom w:val="single" w:sz="0" w:space="0" w:color="056393"/>
                                <w:right w:val="single" w:sz="0" w:space="0" w:color="056393"/>
                              </w:pBdr>
                              <w:shd w:val="clear" w:color="auto" w:fill="056393"/>
                              <w:spacing w:before="120" w:after="0" w:line="192" w:lineRule="auto"/>
                              <w:ind w:left="0" w:right="0" w:firstLine="0"/>
                              <w:jc w:val="center"/>
                            </w:pPr>
                            <w:r>
                              <w:rPr>
                                <w:rStyle w:val="CharStyle25"/>
                                <w:b/>
                                <w:color w:val="C7ECF7"/>
                              </w:rPr>
                              <w:t>Investir/</w:t>
                            </w:r>
                            <w:r>
                              <w:rPr>
                                <w:rStyle w:val="CharStyle25"/>
                                <w:b/>
                                <w:color w:val="C7ECF7"/>
                              </w:rPr>
                              <w:br/>
                              <w:t>financement</w:t>
                            </w:r>
                          </w:p>
                        </w:txbxContent>
                      </wps:txbx>
                      <wps:bodyPr lIns="0" tIns="0" rIns="0" bIns="0">
                        <a:noAutoFit/>
                      </wps:bodyPr>
                    </wps:wsp>
                  </a:graphicData>
                </a:graphic>
              </wp:anchor>
            </w:drawing>
          </mc:Choice>
        </mc:AlternateContent>
      </w:r>
      <w:r>
        <mc:AlternateContent>
          <mc:Choice Requires="wps">
            <w:drawing>
              <wp:anchor distT="676910" distB="0" distL="114300" distR="114300" simplePos="0" relativeHeight="125829393" behindDoc="0" locked="0" layoutInCell="1" allowOverlap="1">
                <wp:simplePos x="0" y="0"/>
                <wp:positionH relativeFrom="page">
                  <wp:posOffset>1248410</wp:posOffset>
                </wp:positionH>
                <wp:positionV relativeFrom="margin">
                  <wp:posOffset>4707890</wp:posOffset>
                </wp:positionV>
                <wp:extent cx="999490" cy="194945"/>
                <wp:wrapSquare wrapText="right"/>
                <wp:docPr id="40" name="Forme 40"/>
                <a:graphic xmlns:a="http://schemas.openxmlformats.org/drawingml/2006/main">
                  <a:graphicData uri="http://schemas.microsoft.com/office/word/2010/wordprocessingShape">
                    <wps:wsp>
                      <wps:cNvSpPr txBox="1"/>
                      <wps:spPr>
                        <a:xfrm>
                          <a:ext cx="999490" cy="194945"/>
                        </a:xfrm>
                        <a:prstGeom prst="rect"/>
                        <a:solidFill>
                          <a:srgbClr val="BE6327"/>
                        </a:solidFill>
                      </wps:spPr>
                      <wps:txbx>
                        <w:txbxContent>
                          <w:p>
                            <w:pPr>
                              <w:pStyle w:val="Style24"/>
                              <w:keepNext w:val="0"/>
                              <w:keepLines w:val="0"/>
                              <w:widowControl w:val="0"/>
                              <w:pBdr>
                                <w:top w:val="single" w:sz="0" w:space="0" w:color="BB6329"/>
                                <w:left w:val="single" w:sz="0" w:space="0" w:color="BB6329"/>
                                <w:bottom w:val="single" w:sz="0" w:space="0" w:color="BB6329"/>
                                <w:right w:val="single" w:sz="0" w:space="0" w:color="BB6329"/>
                              </w:pBdr>
                              <w:shd w:val="clear" w:color="auto" w:fill="BB6329"/>
                              <w:spacing w:before="0" w:after="0" w:line="240" w:lineRule="auto"/>
                              <w:ind w:left="0" w:right="0" w:firstLine="0"/>
                              <w:jc w:val="center"/>
                            </w:pPr>
                            <w:r>
                              <w:rPr>
                                <w:rStyle w:val="CharStyle25"/>
                                <w:b/>
                                <w:color w:val="FAE1C4"/>
                              </w:rPr>
                              <w:t xml:space="preserve">Épargnants prêteurs</w:t>
                            </w:r>
                          </w:p>
                        </w:txbxContent>
                      </wps:txbx>
                      <wps:bodyPr wrap="none" lIns="0" tIns="0" rIns="0" bIns="0">
                        <a:noAutoFit/>
                      </wps:bodyPr>
                    </wps:wsp>
                  </a:graphicData>
                </a:graphic>
              </wp:anchor>
            </w:drawing>
          </mc:Choice>
        </mc:AlternateContent>
      </w:r>
      <w:r>
        <w:rPr>
          <w:rStyle w:val="CharStyle25"/>
          <w:b/>
          <w:color w:val="C7ECF7"/>
        </w:rPr>
        <w:t>Investir/</w:t>
      </w:r>
      <w:r>
        <w:rPr>
          <w:rStyle w:val="CharStyle25"/>
          <w:b/>
          <w:color w:val="C7ECF7"/>
        </w:rPr>
        <w:br/>
        <w:t>financement</w:t>
      </w:r>
    </w:p>
    <w:p>
      <w:pPr>
        <w:pStyle w:val="Style54"/>
        <w:keepNext/>
        <w:keepLines/>
        <w:widowControl w:val="0"/>
        <w:pBdr>
          <w:top w:val="single" w:sz="0" w:space="6" w:color="C66428"/>
          <w:left w:val="single" w:sz="0" w:space="0" w:color="C66428"/>
          <w:bottom w:val="single" w:sz="0" w:space="4" w:color="C66428"/>
          <w:right w:val="single" w:sz="0" w:space="0" w:color="C66428"/>
        </w:pBdr>
        <w:shd w:val="clear" w:color="auto" w:fill="C66428"/>
        <w:spacing w:before="0" w:after="0" w:line="240" w:lineRule="auto"/>
        <w:ind w:left="0" w:right="360" w:firstLine="0"/>
        <w:jc w:val="right"/>
      </w:pPr>
      <w:r>
        <mc:AlternateContent>
          <mc:Choice Requires="wps">
            <w:drawing>
              <wp:anchor distT="0" distB="0" distL="114300" distR="4567555" simplePos="0" relativeHeight="125829395" behindDoc="0" locked="0" layoutInCell="1" allowOverlap="1">
                <wp:simplePos x="0" y="0"/>
                <wp:positionH relativeFrom="page">
                  <wp:posOffset>1373505</wp:posOffset>
                </wp:positionH>
                <wp:positionV relativeFrom="margin">
                  <wp:posOffset>4939030</wp:posOffset>
                </wp:positionV>
                <wp:extent cx="758825" cy="618490"/>
                <wp:wrapTopAndBottom/>
                <wp:docPr id="42" name="Forme 42"/>
                <a:graphic xmlns:a="http://schemas.openxmlformats.org/drawingml/2006/main">
                  <a:graphicData uri="http://schemas.microsoft.com/office/word/2010/wordprocessingShape">
                    <wps:wsp>
                      <wps:cNvSpPr txBox="1"/>
                      <wps:spPr>
                        <a:xfrm>
                          <a:ext cx="758825" cy="618490"/>
                        </a:xfrm>
                        <a:prstGeom prst="rect"/>
                        <a:noFill/>
                      </wps:spPr>
                      <wps:txbx>
                        <w:txbxContent>
                          <w:p>
                            <w:pPr>
                              <w:pStyle w:val="Style24"/>
                              <w:keepNext w:val="0"/>
                              <w:keepLines w:val="0"/>
                              <w:widowControl w:val="0"/>
                              <w:shd w:val="clear" w:color="auto" w:fill="auto"/>
                              <w:spacing w:before="0" w:after="0" w:line="226" w:lineRule="auto"/>
                              <w:ind w:left="0" w:right="0" w:firstLine="0"/>
                              <w:jc w:val="center"/>
                            </w:pPr>
                            <w:r>
                              <w:rPr>
                                <w:rStyle w:val="CharStyle25"/>
                                <w:color w:val="656361"/>
                              </w:rPr>
                              <w:t>Ménages</w:t>
                            </w:r>
                            <w:r>
                              <w:rPr>
                                <w:rStyle w:val="CharStyle25"/>
                                <w:color w:val="656361"/>
                              </w:rPr>
                              <w:br/>
                              <w:t xml:space="preserve">Entreprises </w:t>
                            </w:r>
                            <w:r>
                              <w:rPr>
                                <w:rStyle w:val="CharStyle25"/>
                                <w:color w:val="656361"/>
                              </w:rPr>
                              <w:br/>
                              <w:t xml:space="preserve">Gouvernements </w:t>
                            </w:r>
                            <w:r>
                              <w:rPr>
                                <w:rStyle w:val="CharStyle25"/>
                                <w:color w:val="656361"/>
                              </w:rPr>
                              <w:br/>
                              <w:t xml:space="preserve">Entités étrangères</w:t>
                            </w:r>
                          </w:p>
                        </w:txbxContent>
                      </wps:txbx>
                      <wps:bodyPr lIns="0" tIns="0" rIns="0" bIns="0">
                        <a:noAutoFit/>
                      </wps:bodyPr>
                    </wps:wsp>
                  </a:graphicData>
                </a:graphic>
              </wp:anchor>
            </w:drawing>
          </mc:Choice>
        </mc:AlternateContent>
      </w:r>
      <w:r>
        <mc:AlternateContent>
          <mc:Choice Requires="wps">
            <w:drawing>
              <wp:anchor distT="88265" distB="274320" distL="1315085" distR="3592195" simplePos="0" relativeHeight="125829397" behindDoc="0" locked="0" layoutInCell="1" allowOverlap="1">
                <wp:simplePos x="0" y="0"/>
                <wp:positionH relativeFrom="page">
                  <wp:posOffset>2574290</wp:posOffset>
                </wp:positionH>
                <wp:positionV relativeFrom="margin">
                  <wp:posOffset>5027295</wp:posOffset>
                </wp:positionV>
                <wp:extent cx="533400" cy="255905"/>
                <wp:wrapTopAndBottom/>
                <wp:docPr id="44" name="Forme 44"/>
                <a:graphic xmlns:a="http://schemas.openxmlformats.org/drawingml/2006/main">
                  <a:graphicData uri="http://schemas.microsoft.com/office/word/2010/wordprocessingShape">
                    <wps:wsp>
                      <wps:cNvSpPr txBox="1"/>
                      <wps:spPr>
                        <a:xfrm>
                          <a:ext cx="533400" cy="255905"/>
                        </a:xfrm>
                        <a:prstGeom prst="rect"/>
                        <a:noFill/>
                      </wps:spPr>
                      <wps:txbx>
                        <w:txbxContent>
                          <w:p>
                            <w:pPr>
                              <w:pStyle w:val="Style54"/>
                              <w:keepNext/>
                              <w:keepLines/>
                              <w:widowControl w:val="0"/>
                              <w:pBdr>
                                <w:top w:val="single" w:sz="0" w:space="0" w:color="066395"/>
                                <w:left w:val="single" w:sz="0" w:space="0" w:color="066395"/>
                                <w:bottom w:val="single" w:sz="0" w:space="0" w:color="066395"/>
                                <w:right w:val="single" w:sz="0" w:space="0" w:color="066395"/>
                              </w:pBdr>
                              <w:shd w:val="clear" w:color="auto" w:fill="066395"/>
                              <w:spacing w:before="0" w:after="0" w:line="182" w:lineRule="auto"/>
                              <w:ind w:left="0" w:right="0" w:firstLine="0"/>
                              <w:jc w:val="center"/>
                            </w:pPr>
                            <w:bookmarkStart w:id="2" w:name="bookmark2"/>
                            <w:r>
                              <w:rPr>
                                <w:rStyle w:val="CharStyle55"/>
                                <w:b/>
                                <w:color w:val="C7ECF7"/>
                              </w:rPr>
                              <w:t>Investir/</w:t>
                            </w:r>
                            <w:r>
                              <w:rPr>
                                <w:rStyle w:val="CharStyle55"/>
                                <w:b/>
                                <w:color w:val="C7ECF7"/>
                              </w:rPr>
                              <w:br/>
                              <w:t>financement</w:t>
                            </w:r>
                            <w:bookmarkEnd w:id="2"/>
                          </w:p>
                        </w:txbxContent>
                      </wps:txbx>
                      <wps:bodyPr lIns="0" tIns="0" rIns="0" bIns="0">
                        <a:noAutoFit/>
                      </wps:bodyPr>
                    </wps:wsp>
                  </a:graphicData>
                </a:graphic>
              </wp:anchor>
            </w:drawing>
          </mc:Choice>
        </mc:AlternateContent>
      </w:r>
      <w:r>
        <mc:AlternateContent>
          <mc:Choice Requires="wps">
            <w:drawing>
              <wp:anchor distT="6350" distB="438150" distL="2363470" distR="2367280" simplePos="0" relativeHeight="125829399" behindDoc="0" locked="0" layoutInCell="1" allowOverlap="1">
                <wp:simplePos x="0" y="0"/>
                <wp:positionH relativeFrom="page">
                  <wp:posOffset>3622675</wp:posOffset>
                </wp:positionH>
                <wp:positionV relativeFrom="margin">
                  <wp:posOffset>4945380</wp:posOffset>
                </wp:positionV>
                <wp:extent cx="709930" cy="173990"/>
                <wp:wrapTopAndBottom/>
                <wp:docPr id="46" name="Forme 46"/>
                <a:graphic xmlns:a="http://schemas.openxmlformats.org/drawingml/2006/main">
                  <a:graphicData uri="http://schemas.microsoft.com/office/word/2010/wordprocessingShape">
                    <wps:wsp>
                      <wps:cNvSpPr txBox="1"/>
                      <wps:spPr>
                        <a:xfrm>
                          <a:ext cx="709930" cy="173990"/>
                        </a:xfrm>
                        <a:prstGeom prst="rect"/>
                        <a:noFill/>
                      </wps:spPr>
                      <wps:txbx>
                        <w:txbxContent>
                          <w:p>
                            <w:pPr>
                              <w:pStyle w:val="Style54"/>
                              <w:keepNext/>
                              <w:keepLines/>
                              <w:widowControl w:val="0"/>
                              <w:pBdr>
                                <w:top w:val="single" w:sz="0" w:space="0" w:color="C16227"/>
                                <w:left w:val="single" w:sz="0" w:space="0" w:color="C16227"/>
                                <w:bottom w:val="single" w:sz="0" w:space="0" w:color="C16227"/>
                                <w:right w:val="single" w:sz="0" w:space="0" w:color="C16227"/>
                              </w:pBdr>
                              <w:shd w:val="clear" w:color="auto" w:fill="C16227"/>
                              <w:spacing w:before="0" w:after="0" w:line="240" w:lineRule="auto"/>
                              <w:ind w:left="0" w:right="0" w:firstLine="0"/>
                              <w:jc w:val="left"/>
                            </w:pPr>
                            <w:bookmarkStart w:id="4" w:name="bookmark4"/>
                            <w:r>
                              <w:rPr>
                                <w:rStyle w:val="CharStyle55"/>
                                <w:b/>
                              </w:rPr>
                              <w:t xml:space="preserve">Financement direct</w:t>
                            </w:r>
                            <w:bookmarkEnd w:id="4"/>
                          </w:p>
                        </w:txbxContent>
                      </wps:txbx>
                      <wps:bodyPr wrap="none" lIns="0" tIns="0" rIns="0" bIns="0">
                        <a:noAutoFit/>
                      </wps:bodyPr>
                    </wps:wsp>
                  </a:graphicData>
                </a:graphic>
              </wp:anchor>
            </w:drawing>
          </mc:Choice>
        </mc:AlternateContent>
      </w:r>
      <w:r>
        <mc:AlternateContent>
          <mc:Choice Requires="wps">
            <w:drawing>
              <wp:anchor distT="216535" distB="227965" distL="2290445" distR="2290445" simplePos="0" relativeHeight="125829401" behindDoc="0" locked="0" layoutInCell="1" allowOverlap="1">
                <wp:simplePos x="0" y="0"/>
                <wp:positionH relativeFrom="page">
                  <wp:posOffset>3549650</wp:posOffset>
                </wp:positionH>
                <wp:positionV relativeFrom="margin">
                  <wp:posOffset>5155565</wp:posOffset>
                </wp:positionV>
                <wp:extent cx="859790" cy="173990"/>
                <wp:wrapTopAndBottom/>
                <wp:docPr id="48" name="Forme 48"/>
                <a:graphic xmlns:a="http://schemas.openxmlformats.org/drawingml/2006/main">
                  <a:graphicData uri="http://schemas.microsoft.com/office/word/2010/wordprocessingShape">
                    <wps:wsp>
                      <wps:cNvSpPr txBox="1"/>
                      <wps:spPr>
                        <a:xfrm>
                          <a:ext cx="859790" cy="173990"/>
                        </a:xfrm>
                        <a:prstGeom prst="rect"/>
                        <a:noFill/>
                      </wps:spPr>
                      <wps:txbx>
                        <w:txbxContent>
                          <w:p>
                            <w:pPr>
                              <w:pStyle w:val="Style24"/>
                              <w:keepNext w:val="0"/>
                              <w:keepLines w:val="0"/>
                              <w:widowControl w:val="0"/>
                              <w:pBdr>
                                <w:bottom w:val="single" w:sz="4" w:space="0" w:color="auto"/>
                              </w:pBdr>
                              <w:shd w:val="clear" w:color="auto" w:fill="auto"/>
                              <w:spacing w:before="0" w:after="0" w:line="240" w:lineRule="auto"/>
                              <w:ind w:left="0" w:right="0" w:firstLine="0"/>
                              <w:jc w:val="left"/>
                            </w:pPr>
                            <w:r>
                              <w:rPr>
                                <w:rStyle w:val="CharStyle25"/>
                                <w:color w:val="656361"/>
                              </w:rPr>
                              <w:t xml:space="preserve">Marchés financiers</w:t>
                            </w:r>
                          </w:p>
                        </w:txbxContent>
                      </wps:txbx>
                      <wps:bodyPr wrap="none" lIns="0" tIns="0" rIns="0" bIns="0">
                        <a:noAutoFit/>
                      </wps:bodyPr>
                    </wps:wsp>
                  </a:graphicData>
                </a:graphic>
              </wp:anchor>
            </w:drawing>
          </mc:Choice>
        </mc:AlternateContent>
      </w:r>
      <w:r>
        <mc:AlternateContent>
          <mc:Choice Requires="wps">
            <w:drawing>
              <wp:anchor distT="85090" distB="271145" distL="3573780" distR="1333500" simplePos="0" relativeHeight="125829403" behindDoc="0" locked="0" layoutInCell="1" allowOverlap="1">
                <wp:simplePos x="0" y="0"/>
                <wp:positionH relativeFrom="page">
                  <wp:posOffset>4832985</wp:posOffset>
                </wp:positionH>
                <wp:positionV relativeFrom="margin">
                  <wp:posOffset>5024120</wp:posOffset>
                </wp:positionV>
                <wp:extent cx="533400" cy="262255"/>
                <wp:wrapTopAndBottom/>
                <wp:docPr id="50" name="Forme 50"/>
                <a:graphic xmlns:a="http://schemas.openxmlformats.org/drawingml/2006/main">
                  <a:graphicData uri="http://schemas.microsoft.com/office/word/2010/wordprocessingShape">
                    <wps:wsp>
                      <wps:cNvSpPr txBox="1"/>
                      <wps:spPr>
                        <a:xfrm>
                          <a:ext cx="533400" cy="262255"/>
                        </a:xfrm>
                        <a:prstGeom prst="rect"/>
                        <a:noFill/>
                      </wps:spPr>
                      <wps:txbx>
                        <w:txbxContent>
                          <w:p>
                            <w:pPr>
                              <w:pStyle w:val="Style54"/>
                              <w:keepNext/>
                              <w:keepLines/>
                              <w:widowControl w:val="0"/>
                              <w:pBdr>
                                <w:top w:val="single" w:sz="0" w:space="0" w:color="056293"/>
                                <w:left w:val="single" w:sz="0" w:space="0" w:color="056293"/>
                                <w:bottom w:val="single" w:sz="0" w:space="0" w:color="056293"/>
                                <w:right w:val="single" w:sz="0" w:space="0" w:color="056293"/>
                              </w:pBdr>
                              <w:shd w:val="clear" w:color="auto" w:fill="056293"/>
                              <w:spacing w:before="0" w:after="0" w:line="187" w:lineRule="auto"/>
                              <w:ind w:left="0" w:right="0" w:firstLine="0"/>
                              <w:jc w:val="center"/>
                            </w:pPr>
                            <w:bookmarkStart w:id="6" w:name="bookmark6"/>
                            <w:r>
                              <w:rPr>
                                <w:rStyle w:val="CharStyle55"/>
                                <w:b/>
                                <w:color w:val="C7ECF7"/>
                              </w:rPr>
                              <w:t>Investir/</w:t>
                            </w:r>
                            <w:r>
                              <w:rPr>
                                <w:rStyle w:val="CharStyle55"/>
                                <w:b/>
                                <w:color w:val="C7ECF7"/>
                              </w:rPr>
                              <w:br/>
                              <w:t>financement</w:t>
                            </w:r>
                            <w:bookmarkEnd w:id="6"/>
                          </w:p>
                        </w:txbxContent>
                      </wps:txbx>
                      <wps:bodyPr lIns="0" tIns="0" rIns="0" bIns="0">
                        <a:noAutoFit/>
                      </wps:bodyPr>
                    </wps:wsp>
                  </a:graphicData>
                </a:graphic>
              </wp:anchor>
            </w:drawing>
          </mc:Choice>
        </mc:AlternateContent>
      </w:r>
      <w:r>
        <mc:AlternateContent>
          <mc:Choice Requires="wps">
            <w:drawing>
              <wp:anchor distT="0" distB="0" distL="4573270" distR="114300" simplePos="0" relativeHeight="125829405" behindDoc="0" locked="0" layoutInCell="1" allowOverlap="1">
                <wp:simplePos x="0" y="0"/>
                <wp:positionH relativeFrom="page">
                  <wp:posOffset>5832475</wp:posOffset>
                </wp:positionH>
                <wp:positionV relativeFrom="margin">
                  <wp:posOffset>4939030</wp:posOffset>
                </wp:positionV>
                <wp:extent cx="753110" cy="618490"/>
                <wp:wrapTopAndBottom/>
                <wp:docPr id="52" name="Forme 52"/>
                <a:graphic xmlns:a="http://schemas.openxmlformats.org/drawingml/2006/main">
                  <a:graphicData uri="http://schemas.microsoft.com/office/word/2010/wordprocessingShape">
                    <wps:wsp>
                      <wps:cNvSpPr txBox="1"/>
                      <wps:spPr>
                        <a:xfrm>
                          <a:ext cx="753110" cy="618490"/>
                        </a:xfrm>
                        <a:prstGeom prst="rect"/>
                        <a:noFill/>
                      </wps:spPr>
                      <wps:txbx>
                        <w:txbxContent>
                          <w:p>
                            <w:pPr>
                              <w:pStyle w:val="Style24"/>
                              <w:keepNext w:val="0"/>
                              <w:keepLines w:val="0"/>
                              <w:widowControl w:val="0"/>
                              <w:shd w:val="clear" w:color="auto" w:fill="auto"/>
                              <w:spacing w:before="0" w:after="0" w:line="226" w:lineRule="auto"/>
                              <w:ind w:left="0" w:right="0" w:firstLine="0"/>
                              <w:jc w:val="center"/>
                            </w:pPr>
                            <w:r>
                              <w:rPr>
                                <w:rStyle w:val="CharStyle25"/>
                                <w:color w:val="656361"/>
                              </w:rPr>
                              <w:t>Entreprises</w:t>
                            </w:r>
                            <w:r>
                              <w:rPr>
                                <w:rStyle w:val="CharStyle25"/>
                                <w:color w:val="656361"/>
                              </w:rPr>
                              <w:br/>
                              <w:t xml:space="preserve">Gouvernements </w:t>
                            </w:r>
                            <w:r>
                              <w:rPr>
                                <w:rStyle w:val="CharStyle25"/>
                                <w:color w:val="656361"/>
                              </w:rPr>
                              <w:br/>
                              <w:t xml:space="preserve">Ménages </w:t>
                            </w:r>
                            <w:r>
                              <w:rPr>
                                <w:rStyle w:val="CharStyle25"/>
                                <w:color w:val="656361"/>
                              </w:rPr>
                              <w:br/>
                              <w:t xml:space="preserve">Entités étrangères</w:t>
                            </w:r>
                          </w:p>
                        </w:txbxContent>
                      </wps:txbx>
                      <wps:bodyPr lIns="0" tIns="0" rIns="0" bIns="0">
                        <a:noAutoFit/>
                      </wps:bodyPr>
                    </wps:wsp>
                  </a:graphicData>
                </a:graphic>
              </wp:anchor>
            </w:drawing>
          </mc:Choice>
        </mc:AlternateContent>
      </w:r>
      <w:bookmarkStart w:id="10" w:name="bookmark10"/>
      <w:r>
        <w:rPr>
          <w:rStyle w:val="CharStyle55"/>
          <w:b/>
        </w:rPr>
        <w:t>Emprunteurs-prêteurs</w:t>
      </w:r>
      <w:bookmarkEnd w:id="10"/>
    </w:p>
    <w:p>
      <w:pPr>
        <w:pStyle w:val="Style57"/>
        <w:keepNext w:val="0"/>
        <w:keepLines w:val="0"/>
        <w:widowControl w:val="0"/>
        <w:shd w:val="clear" w:color="auto" w:fill="auto"/>
        <w:spacing w:before="0" w:after="440" w:line="286" w:lineRule="auto"/>
        <w:ind w:left="380" w:right="0" w:firstLine="0"/>
        <w:jc w:val="left"/>
      </w:pPr>
      <w:r>
        <w:rPr>
          <w:rStyle w:val="CharStyle58"/>
          <w:color w:val="656361"/>
        </w:rPr>
        <w:t xml:space="preserve">Source : Adapté de Frederic S. Mishkin et Stanley G. Eakins, </w:t>
      </w:r>
      <w:r>
        <w:rPr>
          <w:rStyle w:val="CharStyle58"/>
          <w:i/>
          <w:color w:val="656361"/>
        </w:rPr>
        <w:t xml:space="preserve">Financial Markets and Institutions.</w:t>
      </w:r>
      <w:r>
        <w:rPr>
          <w:rStyle w:val="CharStyle58"/>
          <w:color w:val="656361"/>
        </w:rPr>
        <w:t xml:space="preserve"> 7e édition (Boston: Prentice Hall, 2012), 16.</w:t>
      </w:r>
    </w:p>
    <w:p>
      <w:pPr>
        <w:pStyle w:val="Style24"/>
        <w:keepNext w:val="0"/>
        <w:keepLines w:val="0"/>
        <w:widowControl w:val="0"/>
        <w:shd w:val="clear" w:color="auto" w:fill="auto"/>
        <w:spacing w:before="0" w:after="0"/>
        <w:ind w:left="0" w:right="0" w:firstLine="740"/>
        <w:jc w:val="left"/>
      </w:pPr>
      <w:r>
        <w:rPr>
          <w:rStyle w:val="CharStyle25"/>
        </w:rPr>
        <w:t xml:space="preserve">La Réserve fédérale surveille le système financier à la recherche de signes d'instabilité, tels qu'une prise de risque excessive, des bulles d'actifs ou des vulnérabilités émergentes.</w:t>
        <w:footnoteReference w:id="145"/>
        <w:t xml:space="preserve"> En identifiant et en s'attaquant rapidement aux menaces potentielles, la Réserve fédérale peut prendre des mesures préventives pour éviter les crises financières.</w:t>
      </w:r>
    </w:p>
    <w:p>
      <w:pPr>
        <w:pStyle w:val="Style24"/>
        <w:keepNext w:val="0"/>
        <w:keepLines w:val="0"/>
        <w:widowControl w:val="0"/>
        <w:shd w:val="clear" w:color="auto" w:fill="auto"/>
        <w:spacing w:before="0"/>
        <w:ind w:left="0" w:right="0" w:firstLine="740"/>
        <w:jc w:val="left"/>
      </w:pPr>
      <w:r>
        <w:rPr>
          <w:rStyle w:val="CharStyle25"/>
        </w:rPr>
        <w:t xml:space="preserve">En fournissant des liquidités d'urgence aux institutions financières confrontées à des problèmes de financement à court terme, la Réserve fédérale contribue à maintenir la confiance dans le système financier et empêche la défaillance d'institutions qui sont par ailleurs solvables.</w:t>
        <w:footnoteReference w:id="146"/>
        <w:t xml:space="preserve"> Le principal mécanisme par lequel la Réserve fédérale agit en tant que prêteur de dernier recours est la fenêtre d'escompte. Les</w:t>
        <w:footnoteReference w:id="147"/>
        <w:t xml:space="preserve"> banques et autres institutions financières éligibles peuvent emprunter de l’argent à partir de la fenêtre d’escompte de la Réserve fédérale lorsqu’elles ne peuvent pas obtenir suffisamment de liquidités auprès d’autres sources, telles que le marché des prêts interbancaires.</w:t>
        <w:footnoteReference w:id="148"/>
        <w:t xml:space="preserve"> Ces prêts sont généralement à court terme et sont garantis par des actifs de haute qualité détenus par l'établissement emprunteur.</w:t>
        <w:footnoteReference w:id="149"/>
      </w:r>
    </w:p>
    <w:p>
      <w:pPr>
        <w:pStyle w:val="Style24"/>
        <w:keepNext w:val="0"/>
        <w:keepLines w:val="0"/>
        <w:widowControl w:val="0"/>
        <w:shd w:val="clear" w:color="auto" w:fill="auto"/>
        <w:spacing w:before="0"/>
        <w:ind w:left="0" w:right="0" w:firstLine="740"/>
        <w:jc w:val="left"/>
      </w:pPr>
      <w:r>
        <w:rPr>
          <w:rStyle w:val="CharStyle25"/>
        </w:rPr>
        <w:t xml:space="preserve">En période de «circonstances inhabituelles ou urgentes», la Réserve fédérale est autorisée à fournir des liquidités aux institutions non dépositaires en vertu de l’article 13, paragraphe 3, de la Federal Reserve Act.</w:t>
        <w:footnoteReference w:id="150"/>
        <w:t xml:space="preserve"> L'une des principales façons dont la Réserve fédérale opérationnalise cette autorité est la création de facilités de prêt pour soutenir la liquidité globale du marché. Il est rare que la Réserve fédérale utilise cette autorité, mais elle l’a utilisée pendant la crise financière de 2007-2009 et la pandémie de COVID-19 pour prévenir les dommages causés à l’économie américaine.</w:t>
        <w:footnoteReference w:id="151"/>
        <w:t xml:space="preserve"> En vertu des modifications adoptées en vertu de la loi Dodd-Frank, les programmes de prêts d'urgence en vertu de l'article 13 (3) de la Federal Reserve Act doivent être larges</w:t>
        <w:softHyphen/>
        <w:t xml:space="preserve">et non conçus pour soutenir une seule institution, entre autres exigences. </w:t>
        <w:footnoteReference w:id="152"/>
        <w:t xml:space="preserve">En outre, le Congrès exige que la Réserve fédérale veille à ce que les contribuables soient protégés contre les pertes en ne renflouant pas les institutions insolvables et les exigences en matière de garanties. </w:t>
        <w:footnoteReference w:id="153"/>
        <w:t xml:space="preserve">Conformément à cela, les mesures prises en vertu de l'article 13 (3) sont prises avec l'approbation du secrétaire du département du Trésor des États-Unis.</w:t>
        <w:footnoteReference w:id="154"/>
        <w:t xml:space="preserve"> Les modifications de la loi Dodd-Frank permettent à la Réserve fédérale de divulguer les détails des programmes de prêts d'urgence, y compris les noms des emprunteurs, les montants empruntés et les conditions des prêts au Congrès.</w:t>
        <w:footnoteReference w:id="155"/>
        <w:t xml:space="preserve"> Cette transparence vise à accroître la responsabilité publique pour les actions d’urgence de la Réserve fédérale.</w:t>
      </w:r>
    </w:p>
    <w:p>
      <w:pPr>
        <w:pStyle w:val="Style24"/>
        <w:keepNext w:val="0"/>
        <w:keepLines w:val="0"/>
        <w:widowControl w:val="0"/>
        <w:shd w:val="clear" w:color="auto" w:fill="auto"/>
        <w:spacing w:before="0"/>
        <w:ind w:left="0" w:right="0" w:firstLine="0"/>
        <w:jc w:val="left"/>
      </w:pPr>
      <w:r>
        <w:rPr>
          <w:rStyle w:val="CharStyle25"/>
          <w:u w:val="single"/>
        </w:rPr>
        <w:t xml:space="preserve">Surveillance et réglementation des institutions financières</w:t>
      </w:r>
    </w:p>
    <w:p>
      <w:pPr>
        <w:pStyle w:val="Style24"/>
        <w:keepNext w:val="0"/>
        <w:keepLines w:val="0"/>
        <w:widowControl w:val="0"/>
        <w:shd w:val="clear" w:color="auto" w:fill="auto"/>
        <w:spacing w:before="0"/>
        <w:ind w:left="0" w:right="0" w:firstLine="740"/>
        <w:jc w:val="left"/>
      </w:pPr>
      <w:r>
        <w:rPr>
          <w:rStyle w:val="CharStyle25"/>
        </w:rPr>
        <w:t xml:space="preserve">La Réserve fédérale supervise et réglemente les banques pour s'assurer qu'elles fonctionnent en toute sécurité et sainement. Cela implique des examens réguliers, la surveillance des conditions financières et l'application des exigences réglementaires pour atténuer les risques qui pourraient menacer la stabilité du système financier.</w:t>
      </w:r>
    </w:p>
    <w:p>
      <w:pPr>
        <w:pStyle w:val="Style24"/>
        <w:keepNext w:val="0"/>
        <w:keepLines w:val="0"/>
        <w:widowControl w:val="0"/>
        <w:shd w:val="clear" w:color="auto" w:fill="auto"/>
        <w:spacing w:before="0"/>
        <w:ind w:left="0" w:right="0" w:firstLine="740"/>
        <w:jc w:val="left"/>
      </w:pPr>
      <w:r>
        <w:rPr>
          <w:rStyle w:val="CharStyle25"/>
        </w:rPr>
        <w:t xml:space="preserve">Plus particulièrement, la Réserve fédérale effectue des tests de résistance sur les grandes institutions financières pour évaluer leur capacité à résister à de graves chocs économiques. Ces tests permettent de s'assurer que les banques disposent de fonds propres suffisants pour continuer à prêter pendant les crises. Ces tests de résistance sont imposés par la loi Dodd-Frank, promulguée en réponse à la crise financière de 2008. La Réserve fédérale exerce d’autres activités de surveillance et de réglementation, mais il n’est pas nécessaire d’expliquer davantage ces activités pour évaluer les mesures prises par la Réserve fédérale en réponse à la pandémie.</w:t>
      </w:r>
    </w:p>
    <w:p>
      <w:pPr>
        <w:pStyle w:val="Style24"/>
        <w:keepNext w:val="0"/>
        <w:keepLines w:val="0"/>
        <w:widowControl w:val="0"/>
        <w:shd w:val="clear" w:color="auto" w:fill="auto"/>
        <w:spacing w:before="0"/>
        <w:ind w:left="0" w:right="0" w:firstLine="0"/>
        <w:jc w:val="left"/>
      </w:pPr>
      <w:r>
        <w:rPr>
          <w:rStyle w:val="CharStyle25"/>
          <w:u w:val="single"/>
        </w:rPr>
        <w:t xml:space="preserve">Résumé des principales actions de la Réserve fédérale pendant la pandémie</w:t>
      </w:r>
    </w:p>
    <w:p>
      <w:pPr>
        <w:pStyle w:val="Style24"/>
        <w:keepNext w:val="0"/>
        <w:keepLines w:val="0"/>
        <w:widowControl w:val="0"/>
        <w:shd w:val="clear" w:color="auto" w:fill="auto"/>
        <w:spacing w:before="0"/>
        <w:ind w:left="0" w:right="0" w:firstLine="740"/>
        <w:jc w:val="left"/>
      </w:pPr>
      <w:r>
        <w:rPr>
          <w:rStyle w:val="CharStyle25"/>
        </w:rPr>
        <w:t xml:space="preserve">La réponse agressive et sans précédent de la Réserve fédérale à la pandémie de COVID-19 a impliqué l'utilisation de tous les outils de politique monétaire à sa disposition. Ces actions étaient essentielles pour prévenir un ralentissement économique plus grave, bien qu'elles aient également pu créer de nouveaux précédents pour le rôle de la Réserve fédérale dans les crises futures.</w:t>
      </w:r>
    </w:p>
    <w:p>
      <w:pPr>
        <w:pStyle w:val="Style24"/>
        <w:keepNext w:val="0"/>
        <w:keepLines w:val="0"/>
        <w:widowControl w:val="0"/>
        <w:shd w:val="clear" w:color="auto" w:fill="auto"/>
        <w:spacing w:before="0"/>
        <w:ind w:left="0" w:right="0" w:firstLine="0"/>
        <w:jc w:val="left"/>
      </w:pPr>
      <w:r>
        <w:rPr>
          <w:rStyle w:val="CharStyle25"/>
          <w:u w:val="single"/>
        </w:rPr>
        <w:t xml:space="preserve">Janvier à février 2020: Suivi précoce et posture initiale</w:t>
      </w:r>
    </w:p>
    <w:p>
      <w:pPr>
        <w:pStyle w:val="Style24"/>
        <w:keepNext w:val="0"/>
        <w:keepLines w:val="0"/>
        <w:widowControl w:val="0"/>
        <w:shd w:val="clear" w:color="auto" w:fill="auto"/>
        <w:tabs>
          <w:tab w:pos="2155" w:val="left"/>
        </w:tabs>
        <w:spacing w:before="0" w:after="0"/>
        <w:ind w:left="0" w:right="0" w:firstLine="0"/>
        <w:jc w:val="left"/>
      </w:pPr>
      <w:r>
        <w:rPr>
          <w:rStyle w:val="CharStyle25"/>
        </w:rPr>
        <w:t xml:space="preserve">Janvier 2020:</w:t>
        <w:tab/>
        <w:t xml:space="preserve">La Réserve fédérale a commencé à surveiller l'épidémie émergente de COVID-19,</w:t>
      </w:r>
    </w:p>
    <w:p>
      <w:pPr>
        <w:pStyle w:val="Style24"/>
        <w:keepNext w:val="0"/>
        <w:keepLines w:val="0"/>
        <w:widowControl w:val="0"/>
        <w:shd w:val="clear" w:color="auto" w:fill="auto"/>
        <w:spacing w:before="0"/>
        <w:ind w:left="2180" w:right="0" w:firstLine="0"/>
        <w:jc w:val="left"/>
      </w:pPr>
      <w:r>
        <w:rPr>
          <w:rStyle w:val="CharStyle25"/>
        </w:rPr>
        <w:t xml:space="preserve">évaluer les risques potentiels pour l'économie américaine. Au cours de cette période, elle a maintenu son orientation de politique monétaire, sans modification immédiate des taux d’intérêt.</w:t>
        <w:footnoteReference w:id="156"/>
      </w:r>
    </w:p>
    <w:p>
      <w:pPr>
        <w:pStyle w:val="Style24"/>
        <w:keepNext w:val="0"/>
        <w:keepLines w:val="0"/>
        <w:widowControl w:val="0"/>
        <w:shd w:val="clear" w:color="auto" w:fill="auto"/>
        <w:spacing w:before="0"/>
        <w:ind w:left="2180" w:right="0" w:hanging="2180"/>
        <w:jc w:val="left"/>
      </w:pPr>
      <w:r>
        <w:rPr>
          <w:rStyle w:val="CharStyle25"/>
        </w:rPr>
        <w:t xml:space="preserve">28 février 2020: En réponse aux préoccupations croissantes concernant l'impact économique de la COVID-19, le président Jerome Powell a publié une déclaration indiquant que la banque centrale était prête à «utiliser nos outils et à agir comme il convient pour soutenir l'économie».</w:t>
        <w:footnoteReference w:id="157"/>
      </w:r>
    </w:p>
    <w:p>
      <w:pPr>
        <w:pStyle w:val="Style24"/>
        <w:keepNext w:val="0"/>
        <w:keepLines w:val="0"/>
        <w:widowControl w:val="0"/>
        <w:shd w:val="clear" w:color="auto" w:fill="auto"/>
        <w:spacing w:before="0"/>
        <w:ind w:left="0" w:right="0" w:firstLine="0"/>
        <w:jc w:val="left"/>
      </w:pPr>
      <w:r>
        <w:rPr>
          <w:rStyle w:val="CharStyle25"/>
          <w:u w:val="single"/>
        </w:rPr>
        <w:t xml:space="preserve">Mars 2020: La Réserve fédérale prend plusieurs mesures de politique monétaire</w:t>
      </w:r>
    </w:p>
    <w:p>
      <w:pPr>
        <w:pStyle w:val="Style24"/>
        <w:keepNext w:val="0"/>
        <w:keepLines w:val="0"/>
        <w:widowControl w:val="0"/>
        <w:shd w:val="clear" w:color="auto" w:fill="auto"/>
        <w:tabs>
          <w:tab w:pos="2155" w:val="left"/>
        </w:tabs>
        <w:spacing w:before="0" w:after="0"/>
        <w:ind w:left="0" w:right="0" w:firstLine="0"/>
        <w:jc w:val="left"/>
      </w:pPr>
      <w:r>
        <w:rPr>
          <w:rStyle w:val="CharStyle25"/>
        </w:rPr>
        <w:t xml:space="preserve">3 mars 2020:</w:t>
        <w:tab/>
        <w:t xml:space="preserve">La Réserve fédérale a fait une réduction d'urgence de 50 points de base au fédéral</w:t>
      </w:r>
    </w:p>
    <w:p>
      <w:pPr>
        <w:pStyle w:val="Style24"/>
        <w:keepNext w:val="0"/>
        <w:keepLines w:val="0"/>
        <w:widowControl w:val="0"/>
        <w:shd w:val="clear" w:color="auto" w:fill="auto"/>
        <w:spacing w:before="0"/>
        <w:ind w:left="2180" w:right="0" w:firstLine="0"/>
        <w:jc w:val="left"/>
      </w:pPr>
      <w:r>
        <w:rPr>
          <w:rStyle w:val="CharStyle25"/>
        </w:rPr>
        <w:t xml:space="preserve">taux des fonds, en l'abaissant à une fourchette de 1,00 pour cent à 1,25 pour cent. Il s’agissait de la première réduction du taux d’urgence depuis la crise financière de 2008 et visait à faire face aux risques économiques croissants liés à la pandémie.</w:t>
        <w:footnoteReference w:id="158"/>
      </w:r>
    </w:p>
    <w:p>
      <w:pPr>
        <w:pStyle w:val="Style24"/>
        <w:keepNext w:val="0"/>
        <w:keepLines w:val="0"/>
        <w:widowControl w:val="0"/>
        <w:shd w:val="clear" w:color="auto" w:fill="auto"/>
        <w:tabs>
          <w:tab w:pos="2155" w:val="left"/>
        </w:tabs>
        <w:spacing w:before="0" w:after="0" w:line="264" w:lineRule="auto"/>
        <w:ind w:left="0" w:right="0" w:firstLine="0"/>
        <w:jc w:val="left"/>
      </w:pPr>
      <w:r>
        <w:rPr>
          <w:rStyle w:val="CharStyle25"/>
        </w:rPr>
        <w:t xml:space="preserve">15 mars 2020:</w:t>
        <w:tab/>
        <w:t xml:space="preserve">La Réserve fédérale a fait une autre réduction du taux d'urgence, cette fois de 100</w:t>
      </w:r>
    </w:p>
    <w:p>
      <w:pPr>
        <w:pStyle w:val="Style24"/>
        <w:keepNext w:val="0"/>
        <w:keepLines w:val="0"/>
        <w:widowControl w:val="0"/>
        <w:shd w:val="clear" w:color="auto" w:fill="auto"/>
        <w:spacing w:before="0" w:line="264" w:lineRule="auto"/>
        <w:ind w:left="2180" w:right="0" w:firstLine="0"/>
        <w:jc w:val="left"/>
      </w:pPr>
      <w:r>
        <w:t>points</w:t>
      </w:r>
      <w:r>
        <w:rPr>
          <w:rStyle w:val="CharStyle25"/>
        </w:rPr>
        <w:t xml:space="preserve">de base, ramenant le taux des fonds fédéraux à une fourchette de 0 pour cent à 0,25 pour cent. Ce mouvement a effectivement ramené les taux aux niveaux proches de zéro observés pendant la crise financière. La Réserve fédérale a également lancé un nouveau cycle de QE, s'engageant à acheter au moins 700 milliards de dollars de titres du Trésor et de MBS.</w:t>
        <w:footnoteReference w:id="159"/>
      </w:r>
      <w:r>
        <w:br w:type="page"/>
      </w:r>
    </w:p>
    <w:tbl>
      <w:tblPr>
        <w:tblOverlap w:val="never"/>
        <w:jc w:val="center"/>
        <w:tblLayout w:type="fixed"/>
      </w:tblPr>
      <w:tblGrid>
        <w:gridCol w:w="1896"/>
        <w:gridCol w:w="7488"/>
      </w:tblGrid>
      <w:tr>
        <w:trPr>
          <w:trHeight w:val="960" w:hRule="exact"/>
        </w:trPr>
        <w:tc>
          <w:tcPr>
            <w:tcBorders/>
            <w:shd w:val="clear" w:color="auto" w:fill="auto"/>
            <w:vAlign w:val="top"/>
          </w:tcPr>
          <w:p>
            <w:pPr>
              <w:pStyle w:val="Style18"/>
              <w:keepNext w:val="0"/>
              <w:keepLines w:val="0"/>
              <w:widowControl w:val="0"/>
              <w:shd w:val="clear" w:color="auto" w:fill="auto"/>
              <w:spacing w:before="0" w:after="0" w:line="240" w:lineRule="auto"/>
              <w:ind w:left="0" w:right="0" w:firstLine="0"/>
              <w:jc w:val="left"/>
            </w:pPr>
            <w:r>
              <w:rPr>
                <w:rStyle w:val="CharStyle19"/>
              </w:rPr>
              <w:t xml:space="preserve">17 mars 2020:</w:t>
            </w:r>
          </w:p>
        </w:tc>
        <w:tc>
          <w:tcPr>
            <w:tcBorders/>
            <w:shd w:val="clear" w:color="auto" w:fill="auto"/>
            <w:vAlign w:val="top"/>
          </w:tcPr>
          <w:p>
            <w:pPr>
              <w:pStyle w:val="Style18"/>
              <w:keepNext w:val="0"/>
              <w:keepLines w:val="0"/>
              <w:widowControl w:val="0"/>
              <w:shd w:val="clear" w:color="auto" w:fill="auto"/>
              <w:spacing w:before="0" w:after="0"/>
              <w:ind w:left="280" w:right="0" w:firstLine="20"/>
              <w:jc w:val="left"/>
            </w:pPr>
            <w:r>
              <w:rPr>
                <w:rStyle w:val="CharStyle19"/>
              </w:rPr>
              <w:t xml:space="preserve">La Réserve fédérale a mis en place le Commercial Paper Funding Facility (ci-après le «CPFF») pour soutenir le flux de crédit aux ménages et aux entreprises en fournissant des liquidités au marché du papier commercial.</w:t>
              <w:footnoteReference w:id="160"/>
            </w:r>
          </w:p>
        </w:tc>
      </w:tr>
      <w:tr>
        <w:trPr>
          <w:trHeight w:val="1378" w:hRule="exact"/>
        </w:trPr>
        <w:tc>
          <w:tcPr>
            <w:tcBorders/>
            <w:shd w:val="clear" w:color="auto" w:fill="auto"/>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 xml:space="preserve">18 mars 2020:</w:t>
            </w:r>
          </w:p>
        </w:tc>
        <w:tc>
          <w:tcPr>
            <w:tcBorders/>
            <w:shd w:val="clear" w:color="auto" w:fill="auto"/>
            <w:vAlign w:val="center"/>
          </w:tcPr>
          <w:p>
            <w:pPr>
              <w:pStyle w:val="Style18"/>
              <w:keepNext w:val="0"/>
              <w:keepLines w:val="0"/>
              <w:widowControl w:val="0"/>
              <w:shd w:val="clear" w:color="auto" w:fill="auto"/>
              <w:spacing w:before="0" w:after="0" w:line="264" w:lineRule="auto"/>
              <w:ind w:left="280" w:right="0" w:firstLine="20"/>
              <w:jc w:val="left"/>
            </w:pPr>
            <w:r>
              <w:rPr>
                <w:rStyle w:val="CharStyle19"/>
              </w:rPr>
              <w:t xml:space="preserve">La Réserve fédérale a créé la facilité de liquidité des fonds communs de placement du marché monétaire (ci-après la «MFML») afin d’améliorer la liquidité et le fonctionnement des marchés monétaires, en veillant à ce que les fonds communs de placement du marché monétaire puissent répondre aux demandes de remboursement des investisseurs.</w:t>
              <w:footnoteReference w:id="161"/>
            </w:r>
          </w:p>
        </w:tc>
      </w:tr>
      <w:tr>
        <w:trPr>
          <w:trHeight w:val="3480" w:hRule="exact"/>
        </w:trPr>
        <w:tc>
          <w:tcPr>
            <w:tcBorders/>
            <w:shd w:val="clear" w:color="auto" w:fill="auto"/>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 xml:space="preserve">23 mars 2020:</w:t>
            </w:r>
          </w:p>
        </w:tc>
        <w:tc>
          <w:tcPr>
            <w:tcBorders/>
            <w:shd w:val="clear" w:color="auto" w:fill="auto"/>
            <w:vAlign w:val="bottom"/>
          </w:tcPr>
          <w:p>
            <w:pPr>
              <w:pStyle w:val="Style18"/>
              <w:keepNext w:val="0"/>
              <w:keepLines w:val="0"/>
              <w:widowControl w:val="0"/>
              <w:shd w:val="clear" w:color="auto" w:fill="auto"/>
              <w:spacing w:before="0" w:after="0" w:line="264" w:lineRule="auto"/>
              <w:ind w:left="280" w:right="0" w:firstLine="20"/>
              <w:jc w:val="left"/>
            </w:pPr>
            <w:r>
              <w:rPr>
                <w:rStyle w:val="CharStyle19"/>
              </w:rPr>
              <w:t xml:space="preserve">La Réserve fédérale a annoncé des mesures importantes pour soutenir l'économie, y compris des achats ouverts de titres du Trésor et de MBS (QE essentiellement illimité). En outre, il a introduit plusieurs nouvelles installations:</w:t>
            </w:r>
          </w:p>
          <w:p>
            <w:pPr>
              <w:pStyle w:val="Style18"/>
              <w:keepNext w:val="0"/>
              <w:keepLines w:val="0"/>
              <w:widowControl w:val="0"/>
              <w:numPr>
                <w:ilvl w:val="0"/>
                <w:numId w:val="3"/>
              </w:numPr>
              <w:shd w:val="clear" w:color="auto" w:fill="auto"/>
              <w:tabs>
                <w:tab w:pos="655" w:val="left"/>
              </w:tabs>
              <w:spacing w:before="0" w:after="0" w:line="264" w:lineRule="auto"/>
              <w:ind w:left="640" w:right="0" w:hanging="340"/>
              <w:jc w:val="left"/>
            </w:pPr>
            <w:r>
              <w:rPr>
                <w:rStyle w:val="CharStyle19"/>
              </w:rPr>
              <w:t xml:space="preserve">Facilité de crédit aux entreprises du marché primaire: Soutenir l'émission d'obligations d'entreprises.</w:t>
            </w:r>
          </w:p>
          <w:p>
            <w:pPr>
              <w:pStyle w:val="Style18"/>
              <w:keepNext w:val="0"/>
              <w:keepLines w:val="0"/>
              <w:widowControl w:val="0"/>
              <w:numPr>
                <w:ilvl w:val="0"/>
                <w:numId w:val="3"/>
              </w:numPr>
              <w:shd w:val="clear" w:color="auto" w:fill="auto"/>
              <w:tabs>
                <w:tab w:pos="655" w:val="left"/>
              </w:tabs>
              <w:spacing w:before="0" w:after="0" w:line="264" w:lineRule="auto"/>
              <w:ind w:left="640" w:right="0" w:hanging="340"/>
              <w:jc w:val="left"/>
            </w:pPr>
            <w:r>
              <w:rPr>
                <w:rStyle w:val="CharStyle19"/>
              </w:rPr>
              <w:t xml:space="preserve">Facilité de crédit aux entreprises du marché secondaire [ci-après la «SMCCF»]: Soutenir la négociation d'obligations d'entreprises.</w:t>
            </w:r>
          </w:p>
          <w:p>
            <w:pPr>
              <w:pStyle w:val="Style18"/>
              <w:keepNext w:val="0"/>
              <w:keepLines w:val="0"/>
              <w:widowControl w:val="0"/>
              <w:numPr>
                <w:ilvl w:val="0"/>
                <w:numId w:val="3"/>
              </w:numPr>
              <w:shd w:val="clear" w:color="auto" w:fill="auto"/>
              <w:tabs>
                <w:tab w:pos="655" w:val="left"/>
              </w:tabs>
              <w:spacing w:before="0" w:after="0" w:line="264" w:lineRule="auto"/>
              <w:ind w:left="640" w:right="0" w:hanging="340"/>
              <w:jc w:val="left"/>
            </w:pPr>
            <w:r>
              <w:rPr>
                <w:rStyle w:val="CharStyle19"/>
              </w:rPr>
              <w:t xml:space="preserve">Facilité de prêt de titres adossés à des actifs à terme: Soutenir l'émission de titres adossés à des actifs.</w:t>
            </w:r>
          </w:p>
          <w:p>
            <w:pPr>
              <w:pStyle w:val="Style18"/>
              <w:keepNext w:val="0"/>
              <w:keepLines w:val="0"/>
              <w:widowControl w:val="0"/>
              <w:numPr>
                <w:ilvl w:val="0"/>
                <w:numId w:val="3"/>
              </w:numPr>
              <w:shd w:val="clear" w:color="auto" w:fill="auto"/>
              <w:tabs>
                <w:tab w:pos="655" w:val="left"/>
              </w:tabs>
              <w:spacing w:before="0" w:after="0" w:line="264" w:lineRule="auto"/>
              <w:ind w:left="640" w:right="0" w:hanging="340"/>
              <w:jc w:val="left"/>
            </w:pPr>
            <w:r>
              <w:rPr>
                <w:rStyle w:val="CharStyle19"/>
              </w:rPr>
              <w:t xml:space="preserve">Accroissement du CPFF et du MMLF: Fournir davantage de liquidités aux marchés financiers.</w:t>
              <w:footnoteReference w:id="162"/>
            </w:r>
          </w:p>
        </w:tc>
      </w:tr>
    </w:tbl>
    <w:p>
      <w:pPr>
        <w:widowControl w:val="0"/>
        <w:spacing w:after="299" w:line="1" w:lineRule="exact"/>
      </w:pPr>
    </w:p>
    <w:p>
      <w:pPr>
        <w:widowControl w:val="0"/>
        <w:spacing w:line="1" w:lineRule="exact"/>
      </w:pPr>
    </w:p>
    <w:p>
      <w:pPr>
        <w:pStyle w:val="Style65"/>
        <w:keepNext w:val="0"/>
        <w:keepLines w:val="0"/>
        <w:widowControl w:val="0"/>
        <w:shd w:val="clear" w:color="auto" w:fill="auto"/>
        <w:spacing w:before="0" w:after="0" w:line="240" w:lineRule="auto"/>
        <w:ind w:left="10" w:right="0" w:firstLine="0"/>
        <w:jc w:val="left"/>
      </w:pPr>
      <w:r>
        <w:rPr>
          <w:rStyle w:val="CharStyle66"/>
        </w:rPr>
        <w:t xml:space="preserve">Avril 2020: Soutien aux petites entreprises et aux municipalités</w:t>
      </w:r>
    </w:p>
    <w:tbl>
      <w:tblPr>
        <w:tblOverlap w:val="never"/>
        <w:jc w:val="center"/>
        <w:tblLayout w:type="fixed"/>
      </w:tblPr>
      <w:tblGrid>
        <w:gridCol w:w="1896"/>
        <w:gridCol w:w="7483"/>
      </w:tblGrid>
      <w:tr>
        <w:trPr>
          <w:trHeight w:val="960" w:hRule="exact"/>
        </w:trPr>
        <w:tc>
          <w:tcPr>
            <w:tcBorders/>
            <w:shd w:val="clear" w:color="auto" w:fill="auto"/>
            <w:vAlign w:val="top"/>
          </w:tcPr>
          <w:p>
            <w:pPr>
              <w:pStyle w:val="Style18"/>
              <w:keepNext w:val="0"/>
              <w:keepLines w:val="0"/>
              <w:widowControl w:val="0"/>
              <w:shd w:val="clear" w:color="auto" w:fill="auto"/>
              <w:spacing w:before="0" w:after="0" w:line="240" w:lineRule="auto"/>
              <w:ind w:left="0" w:right="0" w:firstLine="0"/>
              <w:jc w:val="left"/>
            </w:pPr>
            <w:r>
              <w:rPr>
                <w:rStyle w:val="CharStyle19"/>
              </w:rPr>
              <w:t xml:space="preserve">6 avril 2020:</w:t>
            </w:r>
          </w:p>
        </w:tc>
        <w:tc>
          <w:tcPr>
            <w:tcBorders/>
            <w:shd w:val="clear" w:color="auto" w:fill="auto"/>
            <w:vAlign w:val="top"/>
          </w:tcPr>
          <w:p>
            <w:pPr>
              <w:pStyle w:val="Style18"/>
              <w:keepNext w:val="0"/>
              <w:keepLines w:val="0"/>
              <w:widowControl w:val="0"/>
              <w:shd w:val="clear" w:color="auto" w:fill="auto"/>
              <w:spacing w:before="0" w:after="0"/>
              <w:ind w:left="280" w:right="0" w:firstLine="0"/>
              <w:jc w:val="left"/>
            </w:pPr>
            <w:r>
              <w:rPr>
                <w:rStyle w:val="CharStyle19"/>
              </w:rPr>
              <w:t xml:space="preserve">La Réserve fédérale a annoncé la facilité de trésorerie du programme de protection des chèques de paie pour soutenir le PPP de l’ASB en fournissant des liquidités aux institutions financières participantes.</w:t>
              <w:footnoteReference w:id="163"/>
            </w:r>
          </w:p>
        </w:tc>
      </w:tr>
      <w:tr>
        <w:trPr>
          <w:trHeight w:val="1526" w:hRule="exact"/>
        </w:trPr>
        <w:tc>
          <w:tcPr>
            <w:tcBorders/>
            <w:shd w:val="clear" w:color="auto" w:fill="auto"/>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 xml:space="preserve">9 avril 2020:</w:t>
            </w:r>
          </w:p>
        </w:tc>
        <w:tc>
          <w:tcPr>
            <w:tcBorders/>
            <w:shd w:val="clear" w:color="auto" w:fill="auto"/>
            <w:vAlign w:val="bottom"/>
          </w:tcPr>
          <w:p>
            <w:pPr>
              <w:pStyle w:val="Style18"/>
              <w:keepNext w:val="0"/>
              <w:keepLines w:val="0"/>
              <w:widowControl w:val="0"/>
              <w:shd w:val="clear" w:color="auto" w:fill="auto"/>
              <w:spacing w:before="0" w:after="0"/>
              <w:ind w:left="280" w:right="0" w:firstLine="0"/>
              <w:jc w:val="left"/>
            </w:pPr>
            <w:r>
              <w:rPr>
                <w:rStyle w:val="CharStyle19"/>
              </w:rPr>
              <w:t xml:space="preserve">La Réserve fédérale a encore élargi ses interventions, introduisant le programme de prêt Main Street pour fournir jusqu'à 600 milliards de dollars de prêts aux petites et moyennes entreprises. Il a également créé la Facilité municipale de liquidité pour acheter de la dette à court terme directement auprès des gouvernements des États et des collectivités locales, en leur fournissant des liquidités essentielles.</w:t>
              <w:footnoteReference w:id="164"/>
            </w:r>
          </w:p>
        </w:tc>
      </w:tr>
    </w:tbl>
    <w:p>
      <w:pPr>
        <w:pStyle w:val="Style24"/>
        <w:keepNext w:val="0"/>
        <w:keepLines w:val="0"/>
        <w:widowControl w:val="0"/>
        <w:shd w:val="clear" w:color="auto" w:fill="auto"/>
        <w:spacing w:before="0"/>
        <w:ind w:left="0" w:right="0" w:firstLine="0"/>
        <w:jc w:val="left"/>
      </w:pPr>
      <w:r>
        <w:rPr>
          <w:rStyle w:val="CharStyle25"/>
          <w:u w:val="single"/>
        </w:rPr>
        <w:t xml:space="preserve">Mai - juin 2020: Mise en œuvre et ajustements</w:t>
      </w:r>
    </w:p>
    <w:p>
      <w:pPr>
        <w:pStyle w:val="Style24"/>
        <w:keepNext w:val="0"/>
        <w:keepLines w:val="0"/>
        <w:widowControl w:val="0"/>
        <w:shd w:val="clear" w:color="auto" w:fill="auto"/>
        <w:tabs>
          <w:tab w:pos="2155" w:val="left"/>
        </w:tabs>
        <w:spacing w:before="0" w:after="0" w:line="259" w:lineRule="auto"/>
        <w:ind w:left="0" w:right="0" w:firstLine="0"/>
        <w:jc w:val="left"/>
      </w:pPr>
      <w:r>
        <w:rPr>
          <w:rStyle w:val="CharStyle25"/>
        </w:rPr>
        <w:t xml:space="preserve">12 mai 2020:</w:t>
        <w:tab/>
        <w:t xml:space="preserve">La Réserve fédérale a commencé à acheter des obligations d'entreprises négociées en bourse</w:t>
      </w:r>
    </w:p>
    <w:p>
      <w:pPr>
        <w:pStyle w:val="Style24"/>
        <w:keepNext w:val="0"/>
        <w:keepLines w:val="0"/>
        <w:widowControl w:val="0"/>
        <w:shd w:val="clear" w:color="auto" w:fill="auto"/>
        <w:spacing w:before="0" w:line="259" w:lineRule="auto"/>
        <w:ind w:left="2180" w:right="0" w:firstLine="0"/>
        <w:jc w:val="left"/>
      </w:pPr>
      <w:r>
        <w:rPr>
          <w:rStyle w:val="CharStyle25"/>
        </w:rPr>
        <w:t xml:space="preserve">C'était la première fois qu'elle intervenait sur le marché des obligations d'entreprises de cette manière. </w:t>
        <w:footnoteReference w:id="165"/>
      </w:r>
    </w:p>
    <w:p>
      <w:pPr>
        <w:pStyle w:val="Style24"/>
        <w:keepNext w:val="0"/>
        <w:keepLines w:val="0"/>
        <w:widowControl w:val="0"/>
        <w:shd w:val="clear" w:color="auto" w:fill="auto"/>
        <w:tabs>
          <w:tab w:pos="2155" w:val="left"/>
        </w:tabs>
        <w:spacing w:before="0" w:after="0" w:line="259" w:lineRule="auto"/>
        <w:ind w:left="0" w:right="0" w:firstLine="0"/>
        <w:jc w:val="left"/>
      </w:pPr>
      <w:r>
        <w:rPr>
          <w:rStyle w:val="CharStyle25"/>
        </w:rPr>
        <w:t xml:space="preserve">8 juin 2020:</w:t>
        <w:tab/>
        <w:t xml:space="preserve">La Réserve fédérale a élargi le programme de prêt Main Street pour permettre</w:t>
      </w:r>
    </w:p>
    <w:p>
      <w:pPr>
        <w:pStyle w:val="Style24"/>
        <w:keepNext w:val="0"/>
        <w:keepLines w:val="0"/>
        <w:widowControl w:val="0"/>
        <w:shd w:val="clear" w:color="auto" w:fill="auto"/>
        <w:spacing w:before="0" w:line="259" w:lineRule="auto"/>
        <w:ind w:left="2180" w:right="0" w:firstLine="0"/>
        <w:jc w:val="left"/>
      </w:pPr>
      <w:r>
        <w:rPr>
          <w:rStyle w:val="CharStyle25"/>
        </w:rPr>
        <w:t xml:space="preserve">un plus grand nombre d’entreprises peuvent bénéficier d’une aide en ajustant les conditions de prêt et les critères d’éligibilité.</w:t>
        <w:footnoteReference w:id="166"/>
      </w:r>
    </w:p>
    <w:p>
      <w:pPr>
        <w:pStyle w:val="Style24"/>
        <w:keepNext w:val="0"/>
        <w:keepLines w:val="0"/>
        <w:widowControl w:val="0"/>
        <w:shd w:val="clear" w:color="auto" w:fill="auto"/>
        <w:spacing w:before="0"/>
        <w:ind w:left="0" w:right="0" w:firstLine="0"/>
        <w:jc w:val="left"/>
      </w:pPr>
      <w:r>
        <w:rPr>
          <w:rStyle w:val="CharStyle25"/>
          <w:u w:val="single"/>
        </w:rPr>
        <w:t xml:space="preserve">Juillet - août 2020: Soutien continu et ajustements des politiques</w:t>
      </w:r>
    </w:p>
    <w:p>
      <w:pPr>
        <w:pStyle w:val="Style24"/>
        <w:keepNext w:val="0"/>
        <w:keepLines w:val="0"/>
        <w:widowControl w:val="0"/>
        <w:shd w:val="clear" w:color="auto" w:fill="auto"/>
        <w:tabs>
          <w:tab w:pos="2155" w:val="left"/>
        </w:tabs>
        <w:spacing w:before="0" w:after="0" w:line="264" w:lineRule="auto"/>
        <w:ind w:left="0" w:right="0" w:firstLine="0"/>
        <w:jc w:val="left"/>
      </w:pPr>
      <w:r>
        <w:rPr>
          <w:rStyle w:val="CharStyle25"/>
        </w:rPr>
        <w:t xml:space="preserve">29 juillet 2020:</w:t>
        <w:tab/>
        <w:t xml:space="preserve">Le FOMC a réaffirmé son engagement à utiliser toute sa gamme d'outils pour</w:t>
      </w:r>
    </w:p>
    <w:p>
      <w:pPr>
        <w:pStyle w:val="Style24"/>
        <w:keepNext w:val="0"/>
        <w:keepLines w:val="0"/>
        <w:widowControl w:val="0"/>
        <w:shd w:val="clear" w:color="auto" w:fill="auto"/>
        <w:spacing w:before="0" w:line="264" w:lineRule="auto"/>
        <w:ind w:left="2180" w:right="0" w:firstLine="0"/>
        <w:jc w:val="left"/>
      </w:pPr>
      <w:r>
        <w:rPr>
          <w:rStyle w:val="CharStyle25"/>
        </w:rPr>
        <w:t xml:space="preserve">soutenir l'économie américaine, en maintenant le taux des fonds fédéraux à 0 % à 0,25 % et en poursuivant ses achats d'actifs.</w:t>
        <w:footnoteReference w:id="167"/>
      </w:r>
    </w:p>
    <w:p>
      <w:pPr>
        <w:pStyle w:val="Style24"/>
        <w:keepNext w:val="0"/>
        <w:keepLines w:val="0"/>
        <w:widowControl w:val="0"/>
        <w:shd w:val="clear" w:color="auto" w:fill="auto"/>
        <w:spacing w:before="0" w:line="264" w:lineRule="auto"/>
        <w:ind w:left="2180" w:right="0" w:hanging="2180"/>
        <w:jc w:val="left"/>
      </w:pPr>
      <w:r>
        <w:rPr>
          <w:rStyle w:val="CharStyle25"/>
        </w:rPr>
        <w:t xml:space="preserve">27 août 2020: La Réserve fédérale a modifié son cadre de politique dans sa « Déclaration sur les objectifs à plus long terme et la stratégie de politique monétaire », en adoptant une forme flexible de ciblage de l'inflation moyenne. Cela a permis à l'inflation de passer légèrement au-dessus de 2% pendant un certain temps pour compenser les périodes où elle était inférieure à cet objectif.</w:t>
        <w:footnoteReference w:id="168"/>
      </w:r>
    </w:p>
    <w:p>
      <w:pPr>
        <w:pStyle w:val="Style24"/>
        <w:keepNext w:val="0"/>
        <w:keepLines w:val="0"/>
        <w:widowControl w:val="0"/>
        <w:shd w:val="clear" w:color="auto" w:fill="auto"/>
        <w:spacing w:before="0"/>
        <w:ind w:left="0" w:right="0" w:firstLine="0"/>
        <w:jc w:val="left"/>
      </w:pPr>
      <w:r>
        <w:rPr>
          <w:rStyle w:val="CharStyle25"/>
          <w:u w:val="single"/>
        </w:rPr>
        <w:t xml:space="preserve">Septembre - décembre 2020: Ajustements en cours et nouvelles mesures</w:t>
      </w:r>
    </w:p>
    <w:p>
      <w:pPr>
        <w:pStyle w:val="Style24"/>
        <w:keepNext w:val="0"/>
        <w:keepLines w:val="0"/>
        <w:widowControl w:val="0"/>
        <w:shd w:val="clear" w:color="auto" w:fill="auto"/>
        <w:spacing w:before="0"/>
        <w:ind w:left="2180" w:right="0" w:hanging="2180"/>
        <w:jc w:val="left"/>
      </w:pPr>
      <w:r>
        <w:rPr>
          <w:rStyle w:val="CharStyle25"/>
        </w:rPr>
        <w:t xml:space="preserve">16 septembre 2020: La Réserve fédérale a réitéré son engagement à maintenir une politique monétaire accommodante, signalant que les taux resteraient proches de zéro jusqu'à ce que les conditions du marché du travail aient atteint des niveaux compatibles avec les évaluations du FOMC de l'emploi maximum et de l'inflation avaient augmenté à 2% et était sur la bonne voie pour dépasser modérément ce taux pendant un certain temps.</w:t>
        <w:footnoteReference w:id="169"/>
      </w:r>
    </w:p>
    <w:p>
      <w:pPr>
        <w:pStyle w:val="Style24"/>
        <w:keepNext w:val="0"/>
        <w:keepLines w:val="0"/>
        <w:widowControl w:val="0"/>
        <w:shd w:val="clear" w:color="auto" w:fill="auto"/>
        <w:spacing w:before="0"/>
        <w:ind w:left="2180" w:right="0" w:hanging="2180"/>
        <w:jc w:val="left"/>
      </w:pPr>
      <w:r>
        <w:rPr>
          <w:rStyle w:val="CharStyle25"/>
        </w:rPr>
        <w:t xml:space="preserve">16 décembre 2020: La Réserve fédérale a annoncé qu’elle continuerait d’acheter au moins 120 milliards de dollars de titres du Trésor et de titres adossés à des créances hypothécaires d’agences par mois jusqu’à ce que des progrès substantiels aient été accomplis dans la réalisation des objectifs du Comité en matière d’emploi maximal et de stabilité des prix.</w:t>
        <w:footnoteReference w:id="170"/>
      </w:r>
    </w:p>
    <w:p>
      <w:pPr>
        <w:pStyle w:val="Style24"/>
        <w:keepNext w:val="0"/>
        <w:keepLines w:val="0"/>
        <w:widowControl w:val="0"/>
        <w:shd w:val="clear" w:color="auto" w:fill="auto"/>
        <w:spacing w:before="0"/>
        <w:ind w:left="0" w:right="0" w:firstLine="0"/>
        <w:jc w:val="left"/>
      </w:pPr>
      <w:r>
        <w:rPr>
          <w:rStyle w:val="CharStyle25"/>
          <w:u w:val="single"/>
        </w:rPr>
        <w:t xml:space="preserve">Janvier à mars 2021: Transition et soutien soutenu</w:t>
      </w:r>
    </w:p>
    <w:p>
      <w:pPr>
        <w:pStyle w:val="Style24"/>
        <w:keepNext w:val="0"/>
        <w:keepLines w:val="0"/>
        <w:widowControl w:val="0"/>
        <w:shd w:val="clear" w:color="auto" w:fill="auto"/>
        <w:spacing w:before="0"/>
        <w:ind w:left="2180" w:right="0" w:hanging="2180"/>
        <w:jc w:val="left"/>
      </w:pPr>
      <w:r>
        <w:rPr>
          <w:rStyle w:val="CharStyle25"/>
        </w:rPr>
        <w:t xml:space="preserve">27 janvier 2021: La Réserve fédérale a maintenu sa position accommodante, maintenant les taux d'intérêt proches de zéro et poursuivant son programme d'achat d'actifs, soulignant que la reprise économique était encore inégale et loin d'être complète.</w:t>
        <w:footnoteReference w:id="171"/>
      </w:r>
    </w:p>
    <w:p>
      <w:pPr>
        <w:pStyle w:val="Style24"/>
        <w:keepNext w:val="0"/>
        <w:keepLines w:val="0"/>
        <w:widowControl w:val="0"/>
        <w:shd w:val="clear" w:color="auto" w:fill="auto"/>
        <w:tabs>
          <w:tab w:pos="2156" w:val="left"/>
        </w:tabs>
        <w:spacing w:before="0" w:after="0" w:line="264" w:lineRule="auto"/>
        <w:ind w:left="0" w:right="0" w:firstLine="0"/>
        <w:jc w:val="left"/>
      </w:pPr>
      <w:r>
        <w:rPr>
          <w:rStyle w:val="CharStyle25"/>
        </w:rPr>
        <w:t xml:space="preserve">17 mars 2021:</w:t>
        <w:tab/>
        <w:t xml:space="preserve">La Réserve fédérale a réitéré son engagement à soutenir l'économie,</w:t>
      </w:r>
    </w:p>
    <w:p>
      <w:pPr>
        <w:pStyle w:val="Style24"/>
        <w:keepNext w:val="0"/>
        <w:keepLines w:val="0"/>
        <w:widowControl w:val="0"/>
        <w:shd w:val="clear" w:color="auto" w:fill="auto"/>
        <w:spacing w:before="0" w:line="264" w:lineRule="auto"/>
        <w:ind w:left="2180" w:right="0" w:firstLine="0"/>
        <w:jc w:val="left"/>
      </w:pPr>
      <w:r>
        <w:rPr>
          <w:rStyle w:val="CharStyle25"/>
        </w:rPr>
        <w:t xml:space="preserve">signalant qu’elle n’augmenterait pas les taux d’intérêt avant 2023 au plus tôt et que les achats d’actifs se poursuivraient jusqu’à ce que des progrès substantiels soient accomplis.</w:t>
        <w:footnoteReference w:id="172"/>
      </w:r>
    </w:p>
    <w:p>
      <w:pPr>
        <w:pStyle w:val="Style24"/>
        <w:keepNext w:val="0"/>
        <w:keepLines w:val="0"/>
        <w:widowControl w:val="0"/>
        <w:shd w:val="clear" w:color="auto" w:fill="auto"/>
        <w:spacing w:before="0"/>
        <w:ind w:left="0" w:right="0" w:firstLine="0"/>
        <w:jc w:val="left"/>
      </w:pPr>
      <w:r>
        <w:rPr>
          <w:rStyle w:val="CharStyle25"/>
          <w:u w:val="single"/>
        </w:rPr>
        <w:t xml:space="preserve">Avril à décembre 2021: Préparation à la normalisation des politiques</w:t>
      </w:r>
    </w:p>
    <w:p>
      <w:pPr>
        <w:pStyle w:val="Style24"/>
        <w:keepNext w:val="0"/>
        <w:keepLines w:val="0"/>
        <w:widowControl w:val="0"/>
        <w:shd w:val="clear" w:color="auto" w:fill="auto"/>
        <w:tabs>
          <w:tab w:pos="2156" w:val="left"/>
        </w:tabs>
        <w:spacing w:before="0" w:after="0" w:line="259" w:lineRule="auto"/>
        <w:ind w:left="0" w:right="0" w:firstLine="0"/>
        <w:jc w:val="left"/>
      </w:pPr>
      <w:r>
        <w:rPr>
          <w:rStyle w:val="CharStyle25"/>
        </w:rPr>
        <w:t xml:space="preserve">28 avril 2021:</w:t>
        <w:tab/>
        <w:t xml:space="preserve">La Réserve fédérale a maintenu sa position politique, mais a commencé à discuter de la</w:t>
      </w:r>
    </w:p>
    <w:p>
      <w:pPr>
        <w:pStyle w:val="Style24"/>
        <w:keepNext w:val="0"/>
        <w:keepLines w:val="0"/>
        <w:widowControl w:val="0"/>
        <w:shd w:val="clear" w:color="auto" w:fill="auto"/>
        <w:spacing w:before="0" w:line="259" w:lineRule="auto"/>
        <w:ind w:left="2180" w:right="0" w:firstLine="0"/>
        <w:jc w:val="left"/>
      </w:pPr>
      <w:r>
        <w:rPr>
          <w:rStyle w:val="CharStyle25"/>
        </w:rPr>
        <w:t xml:space="preserve">potentiel de réduction des achats d’actifs, l’économie ayant montré des signes de reprise.</w:t>
        <w:footnoteReference w:id="173"/>
      </w:r>
    </w:p>
    <w:p>
      <w:pPr>
        <w:pStyle w:val="Style24"/>
        <w:keepNext w:val="0"/>
        <w:keepLines w:val="0"/>
        <w:widowControl w:val="0"/>
        <w:shd w:val="clear" w:color="auto" w:fill="auto"/>
        <w:tabs>
          <w:tab w:pos="2156" w:val="left"/>
        </w:tabs>
        <w:spacing w:before="0" w:after="0" w:line="264" w:lineRule="auto"/>
        <w:ind w:left="0" w:right="0" w:firstLine="0"/>
        <w:jc w:val="left"/>
      </w:pPr>
      <w:r>
        <w:rPr>
          <w:rStyle w:val="CharStyle25"/>
        </w:rPr>
        <w:t xml:space="preserve">16 juin 2021:</w:t>
        <w:tab/>
        <w:t xml:space="preserve">La Réserve fédérale a indiqué qu'elle pourrait commencer à réduire les achats d'actifs</w:t>
      </w:r>
    </w:p>
    <w:p>
      <w:pPr>
        <w:pStyle w:val="Style24"/>
        <w:keepNext w:val="0"/>
        <w:keepLines w:val="0"/>
        <w:widowControl w:val="0"/>
        <w:shd w:val="clear" w:color="auto" w:fill="auto"/>
        <w:spacing w:before="0" w:line="264" w:lineRule="auto"/>
        <w:ind w:left="2180" w:right="0" w:firstLine="0"/>
        <w:jc w:val="left"/>
      </w:pPr>
      <w:r>
        <w:rPr>
          <w:rStyle w:val="CharStyle25"/>
        </w:rPr>
        <w:t xml:space="preserve">plus tôt que prévu, reconnaissant que l'inflation était plus élevée que prévu.</w:t>
        <w:footnoteReference w:id="174"/>
      </w:r>
    </w:p>
    <w:p>
      <w:pPr>
        <w:pStyle w:val="Style24"/>
        <w:keepNext w:val="0"/>
        <w:keepLines w:val="0"/>
        <w:widowControl w:val="0"/>
        <w:shd w:val="clear" w:color="auto" w:fill="auto"/>
        <w:spacing w:before="0"/>
        <w:ind w:left="2180" w:right="0" w:hanging="2180"/>
        <w:jc w:val="left"/>
      </w:pPr>
      <w:r>
        <w:rPr>
          <w:rStyle w:val="CharStyle25"/>
        </w:rPr>
        <w:t xml:space="preserve">3 novembre 2021: La Réserve fédérale a annoncé qu'elle commencerait à réduire ses achats d'actifs, réduisant le rythme de ses achats mensuels d'obligations de 15 milliards de dollars chaque mois, dans le but de mettre fin au programme d'ici la mi-2022.</w:t>
        <w:footnoteReference w:id="175"/>
      </w:r>
    </w:p>
    <w:p>
      <w:pPr>
        <w:pStyle w:val="Style24"/>
        <w:keepNext w:val="0"/>
        <w:keepLines w:val="0"/>
        <w:widowControl w:val="0"/>
        <w:shd w:val="clear" w:color="auto" w:fill="auto"/>
        <w:spacing w:before="0"/>
        <w:ind w:left="2180" w:right="0" w:hanging="2180"/>
        <w:jc w:val="left"/>
      </w:pPr>
      <w:r>
        <w:rPr>
          <w:rStyle w:val="CharStyle25"/>
        </w:rPr>
        <w:t xml:space="preserve">15 décembre 2021: La Réserve fédérale a accéléré son processus de réduction progressive, doublant le rythme des réductions des achats d'actifs à 30 milliards de dollars par mois, et a signalé que les hausses des taux d'intérêt pourraient commencer en 2022 en réponse à la hausse de l'inflation. </w:t>
        <w:footnoteReference w:id="176"/>
      </w:r>
    </w:p>
    <w:p>
      <w:pPr>
        <w:pStyle w:val="Style24"/>
        <w:keepNext w:val="0"/>
        <w:keepLines w:val="0"/>
        <w:widowControl w:val="0"/>
        <w:shd w:val="clear" w:color="auto" w:fill="auto"/>
        <w:spacing w:before="0"/>
        <w:ind w:left="0" w:right="0" w:firstLine="0"/>
        <w:jc w:val="left"/>
      </w:pPr>
      <w:r>
        <w:rPr>
          <w:rStyle w:val="CharStyle25"/>
          <w:u w:val="single"/>
        </w:rPr>
        <w:t xml:space="preserve">Janvier à mars 2022: Transition vers un resserrement des politiques</w:t>
      </w:r>
    </w:p>
    <w:p>
      <w:pPr>
        <w:pStyle w:val="Style24"/>
        <w:keepNext w:val="0"/>
        <w:keepLines w:val="0"/>
        <w:widowControl w:val="0"/>
        <w:shd w:val="clear" w:color="auto" w:fill="auto"/>
        <w:tabs>
          <w:tab w:pos="2156" w:val="left"/>
        </w:tabs>
        <w:spacing w:before="0" w:after="0" w:line="259" w:lineRule="auto"/>
        <w:ind w:left="0" w:right="0" w:firstLine="0"/>
        <w:jc w:val="left"/>
      </w:pPr>
      <w:r>
        <w:rPr>
          <w:rStyle w:val="CharStyle25"/>
        </w:rPr>
        <w:t xml:space="preserve">16 mars 2022:</w:t>
        <w:tab/>
        <w:t xml:space="preserve">La Réserve fédérale a relevé les taux d'intérêt de 25 points de base, marquant son</w:t>
      </w:r>
    </w:p>
    <w:p>
      <w:pPr>
        <w:pStyle w:val="Style24"/>
        <w:keepNext w:val="0"/>
        <w:keepLines w:val="0"/>
        <w:widowControl w:val="0"/>
        <w:shd w:val="clear" w:color="auto" w:fill="auto"/>
        <w:spacing w:before="0" w:after="320" w:line="259" w:lineRule="auto"/>
        <w:ind w:left="2180" w:right="0" w:firstLine="0"/>
        <w:jc w:val="left"/>
      </w:pPr>
      <w:r>
        <w:rPr>
          <w:rStyle w:val="CharStyle25"/>
        </w:rPr>
        <w:t xml:space="preserve">La première hausse des taux depuis 2018 a marqué une série de hausses de taux pour lutter contre l'inflation et entamer le processus de normalisation de la politique monétaire. </w:t>
        <w:footnoteReference w:id="177"/>
      </w:r>
    </w:p>
    <w:p>
      <w:pPr>
        <w:pStyle w:val="Style24"/>
        <w:keepNext w:val="0"/>
        <w:keepLines w:val="0"/>
        <w:widowControl w:val="0"/>
        <w:shd w:val="clear" w:color="auto" w:fill="auto"/>
        <w:spacing w:before="0" w:line="259" w:lineRule="auto"/>
        <w:ind w:left="1460" w:right="0" w:hanging="1460"/>
        <w:jc w:val="left"/>
      </w:pPr>
      <w:r>
        <w:rPr>
          <w:rStyle w:val="CharStyle25"/>
        </w:rPr>
        <w:t xml:space="preserve">CONSTATATION : Les mesures agressives et précoces de la Réserve fédérale ont atténué les dommages économiques causés par la pandémie, mais ont contribué à une inflation stupéfiante à la fin de 2021 jusqu’en 2022.</w:t>
      </w:r>
    </w:p>
    <w:p>
      <w:pPr>
        <w:pStyle w:val="Style24"/>
        <w:keepNext w:val="0"/>
        <w:keepLines w:val="0"/>
        <w:widowControl w:val="0"/>
        <w:shd w:val="clear" w:color="auto" w:fill="auto"/>
        <w:spacing w:before="0"/>
        <w:ind w:left="0" w:right="0" w:firstLine="740"/>
        <w:jc w:val="left"/>
      </w:pPr>
      <w:r>
        <w:rPr>
          <w:rStyle w:val="CharStyle25"/>
        </w:rPr>
        <w:t xml:space="preserve">Dans les deux semaines qui ont suivi la déclaration de pandémie de COVID-19, la Réserve fédérale a mis tous les outils à sa disposition pour atténuer l'impact économique de la pandémie. La Fed a rapidement réduit le taux des fonds fédéraux à près de zéro pour augmenter la liquidité et amortir l'impact économique de la pandémie.</w:t>
        <w:footnoteReference w:id="178"/>
        <w:t xml:space="preserve"> La Réserve fédérale s'est lancée dans un programme d'assouplissement quantitatif agressif, achetant initialement d'importants titres du Trésor américain d'une valeur de 500 milliards de dollars et des titres adossés à des hypothèques d'une valeur de 200 milliards de dollars pour fournir des liquidités au système financier.</w:t>
        <w:footnoteReference w:id="179"/>
        <w:t xml:space="preserve"> Et en vertu de son autorité de l'article 13 (3) de la Federal Reserve Act, la Réserve fédérale a relancé ou résisté aux premiers de ce qui allait devenir de nombreuses facilités de prêt d'urgence pour soutenir les entreprises, les municipalités et les marchés financiers. </w:t>
        <w:footnoteReference w:id="180"/>
      </w:r>
    </w:p>
    <w:p>
      <w:pPr>
        <w:pStyle w:val="Style24"/>
        <w:keepNext w:val="0"/>
        <w:keepLines w:val="0"/>
        <w:widowControl w:val="0"/>
        <w:shd w:val="clear" w:color="auto" w:fill="auto"/>
        <w:spacing w:before="0"/>
        <w:ind w:left="0" w:right="0" w:firstLine="740"/>
        <w:jc w:val="left"/>
      </w:pPr>
      <w:r>
        <w:rPr>
          <w:rStyle w:val="CharStyle25"/>
        </w:rPr>
        <w:t xml:space="preserve">Ces mesures ont contribué à stabiliser les marchés financiers et à prévenir une crise financière plus profonde. Les mesures de la Réserve fédérale, combinées aux mesures de relance budgétaire adoptées par le Congrès, ont apporté un soutien essentiel aux entreprises et aux ménages, atténuant ainsi le ralentissement économique.</w:t>
      </w:r>
    </w:p>
    <w:p>
      <w:pPr>
        <w:pStyle w:val="Style24"/>
        <w:keepNext w:val="0"/>
        <w:keepLines w:val="0"/>
        <w:widowControl w:val="0"/>
        <w:shd w:val="clear" w:color="auto" w:fill="auto"/>
        <w:spacing w:before="0"/>
        <w:ind w:left="0" w:right="0" w:firstLine="740"/>
        <w:jc w:val="left"/>
      </w:pPr>
      <w:r>
        <w:rPr>
          <w:rStyle w:val="CharStyle25"/>
        </w:rPr>
        <w:t xml:space="preserve">Les mesures prises par la Réserve fédérale, conjuguées à d’importantes dépenses publiques, ont permis à l’économie de se redresser plus rapidement que beaucoup ne l’escomptaient. À la fin de 2020 et en 2021, la croissance économique avait fortement rebondi, les taux de croissance du produit intérieur brut revenant en territoire positif.</w:t>
        <w:footnoteReference w:id="181"/>
        <w:t xml:space="preserve"> Sans l’intervention agressive de la Réserve fédérale, les dommages économiques causés par la pandémie auraient pu être beaucoup plus graves et prolongés, entraînant potentiellement une récession plus profonde et plus durable.</w:t>
        <w:footnoteReference w:id="182"/>
      </w:r>
    </w:p>
    <w:p>
      <w:pPr>
        <w:pStyle w:val="Style24"/>
        <w:keepNext w:val="0"/>
        <w:keepLines w:val="0"/>
        <w:widowControl w:val="0"/>
        <w:shd w:val="clear" w:color="auto" w:fill="auto"/>
        <w:spacing w:before="0"/>
        <w:ind w:left="0" w:right="0" w:firstLine="740"/>
        <w:jc w:val="left"/>
      </w:pPr>
      <w:r>
        <w:rPr>
          <w:rStyle w:val="CharStyle25"/>
        </w:rPr>
        <w:t xml:space="preserve">Cependant, la combinaison de la politique monétaire agressive et de la relance budgétaire a alimenté une augmentation de la demande à mesure que les entreprises rouvraient et que les consommateurs dépensaient leurs économies et leurs chèques de relance. Les chaînes d’approvisionnement mondiales étaient déjà tendues en raison de la pandémie, et la hausse de la demande a exacerbé ces problèmes, entraînant une hausse des prix des biens et des services. Par exemple, la production automobile américaine a diminué, passant de 11,7 millions de véhicules en juillet 2020, près du taux d’avant la pandémie, à moins de 9 millions à la fin de 2021.</w:t>
        <w:footnoteReference w:id="183"/>
        <w:t xml:space="preserve"> Avec des taux d'intérêt à des niveaux historiquement bas et de l'argent de relance injecté dans l'économie, il y a eu une demande considérable des consommateurs pour les automobiles, mais des pénuries prolongées de puces et d'autres composants clés ont limité la production et augmenté les prix.</w:t>
        <w:footnoteReference w:id="184"/>
        <w:t xml:space="preserve"> Le marché du travail tendu, où les employeurs ont du mal à pourvoir des postes, a également contribué à la croissance des salaires et à de nouvelles pressions inflationnistes.</w:t>
        <w:footnoteReference w:id="185"/>
      </w:r>
      <w:r>
        <w:br w:type="page"/>
      </w:r>
    </w:p>
    <w:p>
      <w:pPr>
        <w:pStyle w:val="Style24"/>
        <w:keepNext w:val="0"/>
        <w:keepLines w:val="0"/>
        <w:widowControl w:val="0"/>
        <w:shd w:val="clear" w:color="auto" w:fill="auto"/>
        <w:spacing w:before="0" w:after="580"/>
        <w:ind w:left="0" w:right="0" w:firstLine="780"/>
        <w:jc w:val="left"/>
      </w:pPr>
      <w:r>
        <w:rPr>
          <w:rStyle w:val="CharStyle25"/>
        </w:rPr>
        <w:t xml:space="preserve">À la fin de 2021 et en 2022, l’inflation s’était accélérée pour atteindre des niveaux jamais vus depuis des décennies. L'indice des prix à la consommation et d'autres mesures de l'inflation ont indiqué des hausses de prix importantes pour un large éventail de biens et de services.</w:t>
      </w:r>
    </w:p>
    <w:p>
      <w:pPr>
        <w:pStyle w:val="Style39"/>
        <w:keepNext w:val="0"/>
        <w:keepLines w:val="0"/>
        <w:widowControl w:val="0"/>
        <w:shd w:val="clear" w:color="auto" w:fill="auto"/>
        <w:spacing w:before="0" w:after="0" w:line="240" w:lineRule="auto"/>
        <w:ind w:right="0" w:firstLine="0"/>
        <w:jc w:val="left"/>
      </w:pPr>
      <w:r>
        <w:rPr>
          <w:rStyle w:val="CharStyle40"/>
        </w:rPr>
        <w:t xml:space="preserve">Variation en pourcentage sur 12 mois, indice des prix à la consommation, catégories sélectionnées, non corrigé des variations saisonnières</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Denrées alimentaires</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Aliments en dehors de la maison</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Essence (tous types)</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Gaz naturel (tuyauterie)</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Produits de base moins produits alimentaires et énergie com“</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Véhicules neufs</w:t>
      </w:r>
    </w:p>
    <w:p>
      <w:pPr>
        <w:pStyle w:val="Style57"/>
        <w:keepNext w:val="0"/>
        <w:keepLines w:val="0"/>
        <w:widowControl w:val="0"/>
        <w:shd w:val="clear" w:color="auto" w:fill="auto"/>
        <w:spacing w:before="0" w:after="0" w:line="240" w:lineRule="auto"/>
        <w:ind w:left="0" w:right="0" w:firstLine="740"/>
        <w:jc w:val="left"/>
      </w:pPr>
      <w:r>
        <w:rPr>
          <w:rStyle w:val="CharStyle58"/>
        </w:rPr>
        <w:t xml:space="preserve">— Services moins services énergétiques</w:t>
      </w:r>
    </w:p>
    <w:p>
      <w:pPr>
        <w:pStyle w:val="Style57"/>
        <w:keepNext w:val="0"/>
        <w:keepLines w:val="0"/>
        <w:widowControl w:val="0"/>
        <w:shd w:val="clear" w:color="auto" w:fill="auto"/>
        <w:spacing w:before="0" w:after="0" w:line="240" w:lineRule="auto"/>
        <w:ind w:left="0" w:right="0" w:firstLine="740"/>
        <w:jc w:val="left"/>
      </w:pPr>
      <w:r>
        <mc:AlternateContent>
          <mc:Choice Requires="wps">
            <w:drawing>
              <wp:anchor distT="0" distB="0" distL="114300" distR="114300" simplePos="0" relativeHeight="125829407" behindDoc="0" locked="0" layoutInCell="1" allowOverlap="1">
                <wp:simplePos x="0" y="0"/>
                <wp:positionH relativeFrom="page">
                  <wp:posOffset>2155190</wp:posOffset>
                </wp:positionH>
                <wp:positionV relativeFrom="margin">
                  <wp:posOffset>1266190</wp:posOffset>
                </wp:positionV>
                <wp:extent cx="1402080" cy="1088390"/>
                <wp:wrapSquare wrapText="right"/>
                <wp:docPr id="54" name="Forme 54"/>
                <a:graphic xmlns:a="http://schemas.openxmlformats.org/drawingml/2006/main">
                  <a:graphicData uri="http://schemas.microsoft.com/office/word/2010/wordprocessingShape">
                    <wps:wsp>
                      <wps:cNvSpPr txBox="1"/>
                      <wps:spPr>
                        <a:xfrm>
                          <a:ext cx="1402080" cy="1088390"/>
                        </a:xfrm>
                        <a:prstGeom prst="rect"/>
                        <a:noFill/>
                      </wps:spPr>
                      <wps:txbx>
                        <w:txbxContent>
                          <w:p>
                            <w:pPr>
                              <w:pStyle w:val="Style57"/>
                              <w:keepNext w:val="0"/>
                              <w:keepLines w:val="0"/>
                              <w:widowControl w:val="0"/>
                              <w:shd w:val="clear" w:color="auto" w:fill="auto"/>
                              <w:spacing w:before="0" w:after="0" w:line="240" w:lineRule="auto"/>
                              <w:ind w:left="0" w:right="0" w:firstLine="0"/>
                              <w:jc w:val="left"/>
                            </w:pPr>
                            <w:r>
                              <w:rPr>
                                <w:rStyle w:val="CharStyle58"/>
                                <w:color w:val="B73C51"/>
                              </w:rPr>
                              <w:t xml:space="preserve">— </w:t>
                            </w:r>
                            <w:r>
                              <w:rPr>
                                <w:rStyle w:val="CharStyle58"/>
                                <w:color w:val="2B6160"/>
                              </w:rPr>
                              <w:t xml:space="preserve">Tous les éléments</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Alimentation à domicile</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Énergie</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Électricité</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Tous les dems moins de nourriture et d'énergie</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Vêtements</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Produits de soins médicaux</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Abris</w:t>
                            </w:r>
                          </w:p>
                          <w:p>
                            <w:pPr>
                              <w:pStyle w:val="Style57"/>
                              <w:keepNext w:val="0"/>
                              <w:keepLines w:val="0"/>
                              <w:widowControl w:val="0"/>
                              <w:shd w:val="clear" w:color="auto" w:fill="auto"/>
                              <w:spacing w:before="0" w:after="0" w:line="240" w:lineRule="auto"/>
                              <w:ind w:left="0" w:right="0" w:firstLine="0"/>
                              <w:jc w:val="left"/>
                            </w:pPr>
                            <w:r>
                              <w:rPr>
                                <w:rStyle w:val="CharStyle58"/>
                              </w:rPr>
                              <w:t xml:space="preserve">— Éducation et communication</w:t>
                            </w:r>
                          </w:p>
                        </w:txbxContent>
                      </wps:txbx>
                      <wps:bodyPr lIns="0" tIns="0" rIns="0" bIns="0">
                        <a:noAutoFit/>
                      </wps:bodyPr>
                    </wps:wsp>
                  </a:graphicData>
                </a:graphic>
              </wp:anchor>
            </w:drawing>
          </mc:Choice>
        </mc:AlternateContent>
      </w:r>
      <w:r>
        <w:drawing>
          <wp:anchor distT="101600" distB="542290" distL="214630" distR="156845" simplePos="0" relativeHeight="125829409" behindDoc="0" locked="0" layoutInCell="1" allowOverlap="1">
            <wp:simplePos x="0" y="0"/>
            <wp:positionH relativeFrom="page">
              <wp:posOffset>1295400</wp:posOffset>
            </wp:positionH>
            <wp:positionV relativeFrom="margin">
              <wp:posOffset>2406650</wp:posOffset>
            </wp:positionV>
            <wp:extent cx="5273040" cy="2157730"/>
            <wp:wrapTopAndBottom/>
            <wp:docPr id="56" name="Forme 56"/>
            <a:graphic xmlns:a="http://schemas.openxmlformats.org/drawingml/2006/main">
              <a:graphicData uri="http://schemas.openxmlformats.org/drawingml/2006/picture">
                <pic:pic xmlns:pic="http://schemas.openxmlformats.org/drawingml/2006/picture">
                  <pic:nvPicPr>
                    <pic:cNvPr id="57" name="Boîte à images 57"/>
                    <pic:cNvPicPr/>
                  </pic:nvPicPr>
                  <pic:blipFill>
                    <a:blip r:embed="rId30"/>
                    <a:stretch/>
                  </pic:blipFill>
                  <pic:spPr>
                    <a:xfrm>
                      <a:ext cx="5273040" cy="215773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1481455</wp:posOffset>
                </wp:positionH>
                <wp:positionV relativeFrom="margin">
                  <wp:posOffset>4601210</wp:posOffset>
                </wp:positionV>
                <wp:extent cx="5126990" cy="121920"/>
                <wp:wrapNone/>
                <wp:docPr id="58" name="Forme 58"/>
                <a:graphic xmlns:a="http://schemas.openxmlformats.org/drawingml/2006/main">
                  <a:graphicData uri="http://schemas.microsoft.com/office/word/2010/wordprocessingShape">
                    <wps:wsp>
                      <wps:cNvSpPr txBox="1"/>
                      <wps:spPr>
                        <a:xfrm>
                          <a:ext cx="5126990" cy="121920"/>
                        </a:xfrm>
                        <a:prstGeom prst="rect"/>
                        <a:noFill/>
                      </wps:spPr>
                      <wps:txbx>
                        <w:txbxContent>
                          <w:p>
                            <w:pPr>
                              <w:pStyle w:val="Style27"/>
                              <w:keepNext w:val="0"/>
                              <w:keepLines w:val="0"/>
                              <w:widowControl w:val="0"/>
                              <w:shd w:val="clear" w:color="auto" w:fill="auto"/>
                              <w:tabs>
                                <w:tab w:pos="763" w:val="left"/>
                                <w:tab w:pos="1541" w:val="left"/>
                                <w:tab w:pos="2309" w:val="left"/>
                                <w:tab w:pos="3082" w:val="left"/>
                                <w:tab w:pos="3850" w:val="left"/>
                                <w:tab w:pos="4627" w:val="left"/>
                                <w:tab w:pos="5395" w:val="left"/>
                                <w:tab w:pos="6168" w:val="left"/>
                                <w:tab w:pos="6936" w:val="left"/>
                                <w:tab w:pos="7714" w:val="left"/>
                              </w:tabs>
                              <w:spacing w:before="0" w:after="0" w:line="240" w:lineRule="auto"/>
                              <w:ind w:left="0" w:right="0" w:firstLine="0"/>
                              <w:jc w:val="left"/>
                              <w:rPr>
                                <w:sz w:val="15"/>
                              </w:rPr>
                            </w:pPr>
                            <w:r>
                              <w:rPr>
                                <w:rStyle w:val="CharStyle28"/>
                                <w:rFonts w:ascii="Times New Roman" w:hAnsi="Times New Roman" w:cs="Times New Roman" w:eastAsia="Times New Roman"/>
                                <w:sz w:val="15"/>
                              </w:rPr>
                              <w:t>2004</w:t>
                              <w:tab/>
                              <w:t>2006</w:t>
                              <w:tab/>
                              <w:t>2008</w:t>
                              <w:tab/>
                              <w:t>2010</w:t>
                              <w:tab/>
                              <w:t>2012</w:t>
                              <w:tab/>
                              <w:t>2014</w:t>
                              <w:tab/>
                              <w:t>2016</w:t>
                              <w:tab/>
                              <w:t>2018</w:t>
                              <w:tab/>
                              <w:t>2020</w:t>
                              <w:tab/>
                              <w:t>2022</w:t>
                              <w:tab/>
                              <w:t>2024</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494" behindDoc="0" locked="0" layoutInCell="1" allowOverlap="1">
                <wp:simplePos x="0" y="0"/>
                <wp:positionH relativeFrom="page">
                  <wp:posOffset>1195070</wp:posOffset>
                </wp:positionH>
                <wp:positionV relativeFrom="margin">
                  <wp:posOffset>4799330</wp:posOffset>
                </wp:positionV>
                <wp:extent cx="3642360" cy="304800"/>
                <wp:wrapNone/>
                <wp:docPr id="60" name="Forme 60"/>
                <a:graphic xmlns:a="http://schemas.openxmlformats.org/drawingml/2006/main">
                  <a:graphicData uri="http://schemas.microsoft.com/office/word/2010/wordprocessingShape">
                    <wps:wsp>
                      <wps:cNvSpPr txBox="1"/>
                      <wps:spPr>
                        <a:xfrm>
                          <a:ext cx="3642360" cy="304800"/>
                        </a:xfrm>
                        <a:prstGeom prst="rect"/>
                        <a:noFill/>
                      </wps:spPr>
                      <wps:txbx>
                        <w:txbxContent>
                          <w:p>
                            <w:pPr>
                              <w:pStyle w:val="Style27"/>
                              <w:keepNext w:val="0"/>
                              <w:keepLines w:val="0"/>
                              <w:widowControl w:val="0"/>
                              <w:shd w:val="clear" w:color="auto" w:fill="auto"/>
                              <w:spacing w:before="0" w:after="0" w:line="161" w:lineRule="auto"/>
                              <w:ind w:left="0" w:right="0" w:firstLine="0"/>
                              <w:jc w:val="left"/>
                              <w:rPr>
                                <w:sz w:val="20"/>
                              </w:rPr>
                            </w:pPr>
                            <w:r>
                              <w:rPr>
                                <w:rStyle w:val="CharStyle28"/>
                                <w:rFonts w:ascii="Times New Roman" w:hAnsi="Times New Roman" w:cs="Times New Roman" w:eastAsia="Times New Roman"/>
                                <w:color w:val="A0A1A1"/>
                                <w:sz w:val="20"/>
                              </w:rPr>
                              <w:t xml:space="preserve">Haver aver chert tn voir les données.</w:t>
                            </w:r>
                          </w:p>
                          <w:p>
                            <w:pPr>
                              <w:pStyle w:val="Style27"/>
                              <w:keepNext w:val="0"/>
                              <w:keepLines w:val="0"/>
                              <w:widowControl w:val="0"/>
                              <w:shd w:val="clear" w:color="auto" w:fill="auto"/>
                              <w:spacing w:before="0" w:after="0" w:line="161" w:lineRule="auto"/>
                              <w:ind w:left="0" w:right="0" w:firstLine="0"/>
                              <w:jc w:val="left"/>
                              <w:rPr>
                                <w:sz w:val="20"/>
                              </w:rPr>
                            </w:pPr>
                            <w:r>
                              <w:rPr>
                                <w:rStyle w:val="CharStyle28"/>
                                <w:rFonts w:ascii="Times New Roman" w:hAnsi="Times New Roman" w:cs="Times New Roman" w:eastAsia="Times New Roman"/>
                                <w:color w:val="A0A1A1"/>
                                <w:sz w:val="20"/>
                              </w:rPr>
                              <w:t xml:space="preserve">Note : La zone ombragée représente la récession, telle que déterminée par le Bureau national de la recherche économique. Source : États-Unis. Bureau des statistiques du travail</w:t>
                            </w:r>
                          </w:p>
                        </w:txbxContent>
                      </wps:txbx>
                      <wps:bodyPr lIns="0" tIns="0" rIns="0" bIns="0">
                        <a:noAutoFit/>
                      </wps:bodyPr>
                    </wps:wsp>
                  </a:graphicData>
                </a:graphic>
              </wp:anchor>
            </w:drawing>
          </mc:Choice>
        </mc:AlternateContent>
      </w:r>
      <w:r>
        <w:rPr>
          <w:rStyle w:val="CharStyle58"/>
        </w:rPr>
        <w:t xml:space="preserve">— Services de soins médicaux</w:t>
      </w:r>
    </w:p>
    <w:p>
      <w:pPr>
        <w:pStyle w:val="Style24"/>
        <w:keepNext w:val="0"/>
        <w:keepLines w:val="0"/>
        <w:widowControl w:val="0"/>
        <w:shd w:val="clear" w:color="auto" w:fill="auto"/>
        <w:spacing w:before="0" w:line="264" w:lineRule="auto"/>
        <w:ind w:left="0" w:right="0" w:firstLine="740"/>
        <w:jc w:val="left"/>
      </w:pPr>
      <w:r>
        <w:rPr>
          <w:rStyle w:val="CharStyle25"/>
        </w:rPr>
        <w:t xml:space="preserve">Les actions précoces de la Réserve fédérale, bien que cruciales pour prévenir l’effondrement économique, ont également contribué aux tensions inflationnistes observées plus tard. La période prolongée de faibles taux d'intérêt et d'achats d'actifs à grande échelle, combinée à des problèmes de chaîne d'approvisionnement et à la dynamique du marché du travail, a créé un environnement où l'inflation pourrait s'installer.</w:t>
      </w:r>
    </w:p>
    <w:p>
      <w:pPr>
        <w:pStyle w:val="Style24"/>
        <w:keepNext w:val="0"/>
        <w:keepLines w:val="0"/>
        <w:widowControl w:val="0"/>
        <w:shd w:val="clear" w:color="auto" w:fill="auto"/>
        <w:spacing w:before="0" w:after="0"/>
        <w:ind w:left="0" w:right="0" w:firstLine="740"/>
        <w:jc w:val="left"/>
      </w:pPr>
      <w:r>
        <w:rPr>
          <w:rStyle w:val="CharStyle25"/>
        </w:rPr>
        <w:t xml:space="preserve">Les actions agressives de la Réserve fédérale au début de la pandémie ont été essentielles pour atténuer les dommages économiques et faciliter une reprise plus rapide. Toutefois, ces mêmes actions, ainsi que d’autres facteurs tels que les perturbations de la chaîne d’approvisionnement et les pénuries de main-d’œuvre, ont également contribué à l’inflation significative observée fin 2021 et 2022. En résumé, si l’utilisation par la Réserve fédérale de tous les outils disponibles a permis d’éviter un ralentissement économique beaucoup plus long et plus grave, elle a également joué un rôle dans les tensions inflationnistes apparues plus tard.</w:t>
      </w:r>
    </w:p>
    <w:p>
      <w:pPr>
        <w:pStyle w:val="Style24"/>
        <w:keepNext w:val="0"/>
        <w:keepLines w:val="0"/>
        <w:widowControl w:val="0"/>
        <w:shd w:val="clear" w:color="auto" w:fill="auto"/>
        <w:spacing w:before="0" w:after="300" w:line="269" w:lineRule="auto"/>
        <w:ind w:left="1460" w:right="0" w:firstLine="0"/>
        <w:jc w:val="left"/>
      </w:pPr>
      <w:r>
        <w:rPr>
          <w:rStyle w:val="CharStyle25"/>
        </w:rPr>
        <w:t xml:space="preserve">Accroître la dette publique et veiller à ce que les politiques n'entraînent pas une instabilité financière future.</w:t>
      </w:r>
    </w:p>
    <w:p>
      <w:pPr>
        <w:pStyle w:val="Style24"/>
        <w:keepNext w:val="0"/>
        <w:keepLines w:val="0"/>
        <w:widowControl w:val="0"/>
        <w:shd w:val="clear" w:color="auto" w:fill="auto"/>
        <w:spacing w:before="0"/>
        <w:ind w:left="0" w:right="0" w:firstLine="740"/>
        <w:jc w:val="left"/>
      </w:pPr>
      <w:r>
        <w:rPr>
          <w:rStyle w:val="CharStyle25"/>
        </w:rPr>
        <w:t xml:space="preserve">Il est essentiel de surveiller et de traiter les risques à long terme associés à la faiblesse prolongée des taux d’intérêt et à l’augmentation de la dette publique pour maintenir la stabilité financière, en particulier au lendemain d’une crise telle que la pandémie de COVID-19. La Réserve fédérale aurait pu mieux gérer ces risques et s'assurer que ces politiques n'entraînaient pas d'instabilité financière future.</w:t>
      </w:r>
    </w:p>
    <w:p>
      <w:pPr>
        <w:pStyle w:val="Style24"/>
        <w:keepNext w:val="0"/>
        <w:keepLines w:val="0"/>
        <w:widowControl w:val="0"/>
        <w:shd w:val="clear" w:color="auto" w:fill="auto"/>
        <w:spacing w:before="0"/>
        <w:ind w:left="0" w:right="0" w:firstLine="740"/>
        <w:jc w:val="left"/>
      </w:pPr>
      <w:r>
        <w:rPr>
          <w:rStyle w:val="CharStyle25"/>
        </w:rPr>
        <w:t xml:space="preserve">La Réserve fédérale aurait pu produire des rapports plus détaillés et plus fréquents sur la stabilité financière, en mettant l'accent sur les risques associés à des taux d'intérêt bas prolongés et à l'augmentation de la dette publique. Ces rapports auraient dû inclure des analyses des bulles des prix des actifs et du risque de crédit au sein du système financier. En outre, la mise en œuvre de systèmes de suivi robustes pour suivre les risques dans différents secteurs, y compris le logement, la dette des entreprises et les institutions financières, aurait pu aider à identifier rapidement les vulnérabilités. La Réserve fédérale aurait dû effectuer des analyses régulières de la soutenabilité de la dette publique, notamment en évaluant l'impact potentiel de la hausse de la dette sur les taux d'intérêt futurs, l'inflation et la politique budgétaire.</w:t>
      </w:r>
    </w:p>
    <w:p>
      <w:pPr>
        <w:pStyle w:val="Style24"/>
        <w:keepNext w:val="0"/>
        <w:keepLines w:val="0"/>
        <w:widowControl w:val="0"/>
        <w:shd w:val="clear" w:color="auto" w:fill="auto"/>
        <w:spacing w:before="0" w:after="0"/>
        <w:ind w:left="0" w:right="0" w:firstLine="740"/>
        <w:jc w:val="left"/>
      </w:pPr>
      <w:r>
        <w:rPr>
          <w:rStyle w:val="CharStyle25"/>
        </w:rPr>
        <w:t xml:space="preserve">La Réserve fédérale aurait également dû fournir des indications claires sur la façon et le moment où elle prévoit de normaliser les taux d'intérêt et de mettre fin aux politiques monétaires non conventionnelles.</w:t>
      </w:r>
    </w:p>
    <w:p>
      <w:pPr>
        <w:pStyle w:val="Style24"/>
        <w:keepNext w:val="0"/>
        <w:keepLines w:val="0"/>
        <w:widowControl w:val="0"/>
        <w:shd w:val="clear" w:color="auto" w:fill="auto"/>
        <w:spacing w:before="0"/>
        <w:ind w:left="0" w:right="0" w:firstLine="0"/>
        <w:jc w:val="left"/>
      </w:pPr>
      <w:r>
        <w:rPr>
          <w:rStyle w:val="CharStyle25"/>
        </w:rPr>
        <w:t xml:space="preserve">Communiquer une stratégie de sortie bien définie aiderait à gérer les attentes et à réduire l'incertitude du marché quant aux futurs changements de politique. La transparence quant aux risques potentiels associés à des taux d'intérêt bas et à une dette publique élevée aiderait les acteurs du marché et les décideurs à comprendre les défis et à se préparer à d'éventuels ajustements. Il s'agit notamment de publier des analyses détaillées de la manière dont les politiques actuelles pourraient influer sur les conditions économiques futures.</w:t>
      </w:r>
    </w:p>
    <w:p>
      <w:pPr>
        <w:pStyle w:val="Style24"/>
        <w:keepNext w:val="0"/>
        <w:keepLines w:val="0"/>
        <w:widowControl w:val="0"/>
        <w:shd w:val="clear" w:color="auto" w:fill="auto"/>
        <w:spacing w:before="0" w:after="300" w:line="264" w:lineRule="auto"/>
        <w:ind w:left="0" w:right="0" w:firstLine="740"/>
        <w:jc w:val="left"/>
      </w:pPr>
      <w:r>
        <w:rPr>
          <w:rStyle w:val="CharStyle25"/>
        </w:rPr>
        <w:t xml:space="preserve">En résumé, la Réserve fédérale aurait pu mieux gérer les risques à long terme associés aux faibles taux d'intérêt prolongés et à l'augmentation de la dette publique en améliorant l'évaluation des risques et en fournissant une communication claire. Ces mesures contribueraient à faire en sorte que les politiques favorisent la stabilité financière et évitent de créer de futures vulnérabilités.</w:t>
      </w:r>
    </w:p>
    <w:p>
      <w:pPr>
        <w:pStyle w:val="Style24"/>
        <w:keepNext w:val="0"/>
        <w:keepLines w:val="0"/>
        <w:widowControl w:val="0"/>
        <w:shd w:val="clear" w:color="auto" w:fill="auto"/>
        <w:spacing w:before="0" w:after="280" w:line="264" w:lineRule="auto"/>
        <w:ind w:left="1460" w:right="0" w:hanging="1460"/>
        <w:jc w:val="left"/>
      </w:pPr>
      <w:r>
        <w:rPr>
          <w:rStyle w:val="CharStyle25"/>
        </w:rPr>
        <w:t xml:space="preserve">CONSTATATION : La Réserve fédérale a probablement outrepassé son rôle et ses responsabilités de fournir des liquidités de marché et d’agir en tant que «prêteur de dernier ressort» en assumant le rôle et les responsabilités du département du Trésor en agissant en tant que Spender pour prévenir l’insolvabilité du marché.</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0"/>
        <w:jc w:val="left"/>
      </w:pPr>
      <w:r>
        <w:rPr>
          <w:rStyle w:val="CharStyle25"/>
        </w:rPr>
        <w:t xml:space="preserve">La politique est la façon dont le gouvernement fédéral dépense de l'argent, perçoit des revenus (p. ex., impôts) et gère son budget pour influencer l'économie.</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Réserve fédérale a considérablement augmenté ses achats d'actifs, y compris les titres du Trésor et les titres adossés à des créances hypothécaires, bien au-delà des niveaux observés lors des crises précédentes. Cette expansion visait à soutenir les marchés financiers et à assurer la liquidité, mais elle a également conduit la Réserve fédérale à jouer un rôle plus actif dans la stabilisation des prix des actifs et du fonctionnement du marché. La Réserve fédérale a mis en place des facilités d'achat d'obligations de sociétés, y compris des obligations de</w:t>
        <w:softHyphen/>
        <w:t xml:space="preserve">premier ordre et des obligations à haut rendement, ce qui s'écartait considérablement de sa pratique habituelle consistant à se concentrer principalement sur les titres d'État. Cette décision visait à soutenir la liquidité des entreprises et à prévenir une contraction du crédit, mais cela signifiait également que la Réserve fédérale était directement impliquée dans les marchés du crédit du secteur privé.</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Les interventions de la Réserve fédérale sont allées au-delà de la fourniture de liquidités et ont commencé à ressembler à un soutien économique direct, semblable à des dépenses budgétaires. </w:t>
        <w:footnoteReference w:id="186"/>
        <w:t xml:space="preserve">En achetant des obligations d'entreprises et en accordant des prêts aux entreprises et aux municipalités, la Réserve fédérale injectait effectivement des capitaux dans l'économie, un rôle traditionnellement réservé aux autorités fiscales. </w:t>
        <w:footnoteReference w:id="187"/>
        <w:t xml:space="preserve">Les actions de la Réserve fédérale ont été cruciales pour prévenir une crise financière, mais elles ont également créé une situation dans laquelle les acteurs du marché en sont venus à dépendre fortement de la Réserve fédérale pour leur soutien économique. Cette dépendance à l’égard des interventions des banques centrales a suscité des inquiétudes quant aux conséquences potentielles à long terme, telles que les distorsions des prix des actifs et les inefficacités du marché.</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La Réserve fédérale a créé plusieurs nouvelles facilités de prêt, telles que le programme de prêt Main Street pour fournir des prêts aux petites et moyennes entreprises, un rôle généralement géré par le Trésor. Ce programme visait à combler les lacunes du système financier en offrant des prêts aux entreprises qui n'étaient pas en mesure d'accéder aux marchés traditionnels du crédit. La participation de la Réserve fédérale à ce programme s'apparentait davantage à une intervention budgétaire directe qu'à ses fonctions traditionnelles de politique monétaire.</w:t>
        <w:footnoteReference w:id="188"/>
        <w:t xml:space="preserve"> La Réserve fédérale a également créé la Facilité de liquidité municipale pour acheter de la dette municipale à court terme, aidant les gouvernements des États et des collectivités locales à gérer leurs besoins de liquidités. Il s'agissait d'une expansion significative du rôle de la Réserve fédérale dans le financement des gouvernements locaux et des États, qui relève traditionnellement de la politique budgétaire et des activités du Trésor.</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En intervenant largement sur les marchés et en assumant des rôles généralement associés au Trésor, la Réserve fédérale risquait de créer un aléa moral - où les entreprises et les investisseurs pourraient s'attendre à un soutien continu de la Réserve fédérale, ce qui pourrait conduire à une prise de risque irresponsable.</w:t>
        <w:footnoteReference w:id="189"/>
        <w:t xml:space="preserve"> Le rôle accru de la Réserve fédérale dans le soutien économique et les interventions sur le marché a soulevé des questions sur l'indépendance de la politique monétaire et le potentiel de pressions politiques.</w:t>
        <w:footnoteReference w:id="190"/>
        <w:t xml:space="preserve"> La combinaison des politiques monétaires et budgétaires pourrait avoir une incidence sur</w:t>
      </w:r>
    </w:p>
    <w:p>
      <w:pPr>
        <w:pStyle w:val="Style24"/>
        <w:keepNext w:val="0"/>
        <w:keepLines w:val="0"/>
        <w:widowControl w:val="0"/>
        <w:shd w:val="clear" w:color="auto" w:fill="auto"/>
        <w:spacing w:before="0"/>
        <w:ind w:left="0" w:right="0" w:firstLine="0"/>
        <w:jc w:val="left"/>
      </w:pPr>
      <w:r>
        <w:rPr>
          <w:rStyle w:val="CharStyle25"/>
        </w:rPr>
        <w:t xml:space="preserve">la capacité de la Réserve fédérale à agir de manière autonome dans son rôle traditionnel de politique monétaire. Les actions de la Réserve fédérale pendant la pandémie ont créé de nouveaux précédents pour son rôle dans les crises économiques. Bien que ces mesures soient peut-être nécessaires pour stabiliser l'économie, elles suscitent également des discussions sur les limites des interventions des banques centrales et les rôles appropriés des autorités monétaires et budgétaires dans les crises futures.</w:t>
      </w:r>
    </w:p>
    <w:p>
      <w:pPr>
        <w:pStyle w:val="Style24"/>
        <w:keepNext w:val="0"/>
        <w:keepLines w:val="0"/>
        <w:widowControl w:val="0"/>
        <w:shd w:val="clear" w:color="auto" w:fill="auto"/>
        <w:spacing w:before="0" w:after="0"/>
        <w:ind w:left="0" w:right="0" w:firstLine="740"/>
        <w:jc w:val="left"/>
        <w:sectPr>
          <w:footnotePr>
            <w:pos w:val="pageBottom"/>
            <w:numFmt w:val="decimal"/>
            <w:numStart w:val="1448"/>
            <w:numRestart w:val="continuous"/>
            <w15:footnoteColumns w:val="1"/>
          </w:footnotePr>
          <w:type w:val="continuous"/>
          <w:pgSz w:w="12485" w:h="16357"/>
          <w:pgMar w:top="1665" w:right="1558" w:bottom="1546" w:left="1520" w:header="1237" w:footer="3" w:gutter="0"/>
          <w:cols w:space="720"/>
          <w:noEndnote/>
          <w:rtlGutter w:val="0"/>
          <w:docGrid w:linePitch="360"/>
        </w:sectPr>
      </w:pPr>
      <w:r>
        <w:rPr>
          <w:rStyle w:val="CharStyle25"/>
        </w:rPr>
        <w:t xml:space="preserve">La Réserve fédérale a outrepassé son rôle traditionnel en assumant des responsabilités généralement associées à la politique budgétaire, telles que le soutien économique direct et les interventions sur le marché. Les actions élargies de la Réserve fédérale, y compris les achats d’actifs et les programmes de prêts, ont été cruciales pour stabiliser l’économie, mais elles ont également brouillé les frontières entre la politique monétaire et la politique budgétaire et introduit de nouveaux risques, défis et attentes quant au rôle de la Réserve fédérale dans les crises futures.</w:t>
      </w:r>
    </w:p>
    <w:p>
      <w:pPr>
        <w:pStyle w:val="Style34"/>
        <w:keepNext/>
        <w:keepLines/>
        <w:widowControl w:val="0"/>
        <w:pBdr>
          <w:bottom w:val="single" w:sz="4" w:space="0" w:color="auto"/>
        </w:pBdr>
        <w:shd w:val="clear" w:color="auto" w:fill="auto"/>
        <w:spacing w:before="0" w:line="240" w:lineRule="auto"/>
        <w:ind w:left="0" w:right="0" w:firstLine="0"/>
        <w:jc w:val="left"/>
      </w:pPr>
      <w:bookmarkStart w:id="12" w:name="bookmark12"/>
      <w:r>
        <w:rPr>
          <w:rStyle w:val="CharStyle35"/>
        </w:rPr>
        <w:t xml:space="preserve">L'impact sociétal des décisions de fermer les écoles, comment les décisions ont été prises et s'il existe des preuves d'une perte d'apprentissage généralisée ou d'autres effets négatifs à la suite de ces décisions</w:t>
      </w:r>
      <w:bookmarkEnd w:id="12"/>
    </w:p>
    <w:p>
      <w:pPr>
        <w:pStyle w:val="Style24"/>
        <w:keepNext w:val="0"/>
        <w:keepLines w:val="0"/>
        <w:widowControl w:val="0"/>
        <w:numPr>
          <w:ilvl w:val="0"/>
          <w:numId w:val="5"/>
        </w:numPr>
        <w:shd w:val="clear" w:color="auto" w:fill="auto"/>
        <w:tabs>
          <w:tab w:pos="725" w:val="left"/>
        </w:tabs>
        <w:spacing w:before="0"/>
        <w:ind w:left="0" w:right="0" w:firstLine="0"/>
        <w:jc w:val="left"/>
      </w:pPr>
      <w:r>
        <w:rPr>
          <w:rStyle w:val="CharStyle25"/>
        </w:rPr>
        <w:t xml:space="preserve">Fermetures d’écoles à l’ère de la pandémie de COVID-19</w:t>
      </w:r>
    </w:p>
    <w:p>
      <w:pPr>
        <w:pStyle w:val="Style24"/>
        <w:keepNext w:val="0"/>
        <w:keepLines w:val="0"/>
        <w:widowControl w:val="0"/>
        <w:shd w:val="clear" w:color="auto" w:fill="auto"/>
        <w:spacing w:before="0"/>
        <w:ind w:left="0" w:right="0" w:firstLine="740"/>
        <w:jc w:val="left"/>
      </w:pPr>
      <w:r>
        <w:rPr>
          <w:rStyle w:val="CharStyle25"/>
        </w:rPr>
        <w:t xml:space="preserve">Le 13 mars 2020, le CDC a publié un document de ressources conseillant les écoles sur la façon de mettre en œuvre des fermetures temporaires d'écoles pour contenir la COVID-19.</w:t>
        <w:footnoteReference w:id="191"/>
        <w:t xml:space="preserve"> Représentant l’AFT, Mme Weingarten a fait remarquer que «la fermeture des écoles est une décision angoissante, mais, avec des réserves, elle est inévitable et correcte au milieu de cette urgence nationale sans précédent». </w:t>
        <w:footnoteReference w:id="192"/>
        <w:t xml:space="preserve"> Déjà, les écoles à travers le pays avaient commencé à passer à l’apprentissage à distance dans le but d’endiguer la transmission face à l’énorme pression exercée par les enseignants, les parents et les syndicats d’enseignants. </w:t>
        <w:footnoteReference w:id="193"/>
      </w:r>
    </w:p>
    <w:p>
      <w:pPr>
        <w:pStyle w:val="Style24"/>
        <w:keepNext w:val="0"/>
        <w:keepLines w:val="0"/>
        <w:widowControl w:val="0"/>
        <w:shd w:val="clear" w:color="auto" w:fill="auto"/>
        <w:spacing w:before="0"/>
        <w:ind w:left="0" w:right="0" w:firstLine="740"/>
        <w:jc w:val="left"/>
      </w:pPr>
      <w:r>
        <w:rPr>
          <w:rStyle w:val="CharStyle25"/>
        </w:rPr>
        <w:t xml:space="preserve">En conséquence, de nombreuses autorités de santé publique, y compris les CDC, ont soutenu la fermeture des écoles jusqu’à ce que l’on puisse en apprendre davantage sur le nouveau virus. Pourtant, même le CDC ne semblait pas convaincu que les fermetures d'écoles à court ou moyen terme auraient un impact substantiel sur la transmission, citant des données extraites de Hong Kong et de Singapour montrant que les pays qui fermaient les écoles n'avaient pas plus de succès à réduire la transmission que les endroits qui ne le faisaient pas. </w:t>
        <w:footnoteReference w:id="194"/>
        <w:t xml:space="preserve">Néanmoins, à la fin du mois de mars 2020, presque toutes les écoles du pays étaient fermées.</w:t>
      </w:r>
    </w:p>
    <w:p>
      <w:pPr>
        <w:pStyle w:val="Style24"/>
        <w:keepNext w:val="0"/>
        <w:keepLines w:val="0"/>
        <w:widowControl w:val="0"/>
        <w:shd w:val="clear" w:color="auto" w:fill="auto"/>
        <w:spacing w:before="0" w:line="264" w:lineRule="auto"/>
        <w:ind w:left="0" w:right="0" w:firstLine="740"/>
        <w:jc w:val="left"/>
      </w:pPr>
      <w:r>
        <w:rPr>
          <w:rStyle w:val="CharStyle25"/>
        </w:rPr>
        <w:t xml:space="preserve">Le 8 décembre 2020, en réponse à la promesse du président élu de l’époque, M. Biden, de rouvrir une majorité d’écoles dans les 100 premiers jours de son mandat,</w:t>
        <w:footnoteReference w:id="195"/>
        <w:t xml:space="preserve"> Mme Weingarten a écrit:</w:t>
      </w:r>
    </w:p>
    <w:p>
      <w:pPr>
        <w:pStyle w:val="Style24"/>
        <w:keepNext w:val="0"/>
        <w:keepLines w:val="0"/>
        <w:widowControl w:val="0"/>
        <w:shd w:val="clear" w:color="auto" w:fill="auto"/>
        <w:spacing w:before="0"/>
        <w:ind w:left="740" w:right="0" w:firstLine="0"/>
        <w:jc w:val="both"/>
      </w:pPr>
      <w:r>
        <w:rPr>
          <w:rStyle w:val="CharStyle25"/>
        </w:rPr>
        <w:t xml:space="preserve">Alléluia! Contrairement à Trump, le président élu Biden comprend que si nous sécurisons les ressources et mettons en place les garanties de santé publique, nous pouvons ouvrir des écoles en toute sécurité au cours du deuxième semestre et de ses 100 premiers jours. Voilà à quoi ressemble un leadership visionnaire, stable et efficace pendant une pandémie. Entre cela, un vaccin et un directeur des Centers for Disease Control and Prevention qui est prêt à donner des conseils nationaux sans ingérence politique, nous voyons une voie à suivre pour la réouverture de bâtiments scolaires sûrs. </w:t>
        <w:footnoteReference w:id="196"/>
      </w:r>
    </w:p>
    <w:p>
      <w:pPr>
        <w:pStyle w:val="Style24"/>
        <w:keepNext w:val="0"/>
        <w:keepLines w:val="0"/>
        <w:widowControl w:val="0"/>
        <w:shd w:val="clear" w:color="auto" w:fill="auto"/>
        <w:spacing w:before="0" w:line="259" w:lineRule="auto"/>
        <w:ind w:left="0" w:right="0" w:firstLine="740"/>
        <w:jc w:val="left"/>
      </w:pPr>
      <w:r>
        <w:rPr>
          <w:rStyle w:val="CharStyle25"/>
        </w:rPr>
        <w:t xml:space="preserve">Malheureusement, de nombreuses écoles à travers le pays n'ont pas été rouvertes dans les 100 jours. En fait, seulement 54 pour cent des écoles de la maternelle à la 12e année étaient entièrement ouvertes.</w:t>
        <w:footnoteReference w:id="197"/>
        <w:t xml:space="preserve"> Cela en dépit d'une tentative désespérée de l'administration Biden-Harris de redéfinir la réouverture des écoles pour inclure les écoles qui n'étaient ouvertes qu'un jour par semaine.</w:t>
        <w:footnoteReference w:id="198"/>
      </w:r>
    </w:p>
    <w:p>
      <w:pPr>
        <w:pStyle w:val="Style24"/>
        <w:keepNext w:val="0"/>
        <w:keepLines w:val="0"/>
        <w:widowControl w:val="0"/>
        <w:shd w:val="clear" w:color="auto" w:fill="auto"/>
        <w:spacing w:before="0" w:after="300" w:line="264" w:lineRule="auto"/>
        <w:ind w:left="0" w:right="0" w:firstLine="740"/>
        <w:jc w:val="left"/>
      </w:pPr>
      <w:r>
        <w:rPr>
          <w:rStyle w:val="CharStyle25"/>
        </w:rPr>
        <w:t xml:space="preserve">Au lieu de cela, de nombreuses écoles sont restées fermées en raison de l’intervention politique de l’AFT et de Mme Weingarten dans la publication par la CDC du premier guide de réouverture des écoles de l’administration Biden intitulé «Operational Strategy for K-12 Schools through Phased Prevention» (stratégie opérationnelle pour les écoles de la maternelle à la 12e année grâce à la prévention progressive) [ci-après la «stratégie opérationnelle»] le 12 février 2021.</w:t>
        <w:footnoteReference w:id="199"/>
      </w:r>
    </w:p>
    <w:p>
      <w:pPr>
        <w:pStyle w:val="Style24"/>
        <w:keepNext w:val="0"/>
        <w:keepLines w:val="0"/>
        <w:widowControl w:val="0"/>
        <w:shd w:val="clear" w:color="auto" w:fill="auto"/>
        <w:spacing w:before="0" w:after="300" w:line="259" w:lineRule="auto"/>
        <w:ind w:left="1460" w:right="0" w:hanging="1460"/>
        <w:jc w:val="left"/>
      </w:pPr>
      <w:r>
        <w:rPr>
          <w:rStyle w:val="CharStyle25"/>
        </w:rPr>
        <w:t xml:space="preserve">CONSTATATION : Les fermetures d'écoles à long terme n'étaient pas appuyées par les données scientifiques et probantes disponibles.</w:t>
      </w:r>
    </w:p>
    <w:p>
      <w:pPr>
        <w:pStyle w:val="Style24"/>
        <w:keepNext w:val="0"/>
        <w:keepLines w:val="0"/>
        <w:widowControl w:val="0"/>
        <w:shd w:val="clear" w:color="auto" w:fill="auto"/>
        <w:spacing w:before="0"/>
        <w:ind w:left="0" w:right="0" w:firstLine="740"/>
        <w:jc w:val="left"/>
      </w:pPr>
      <w:r>
        <w:rPr>
          <w:rStyle w:val="CharStyle25"/>
        </w:rPr>
        <w:t xml:space="preserve">À mesure que davantage de données relatives à la COVID-19 devenaient facilement disponibles, il était clair que la «science» ne justifiait pas les fermetures d’écoles. Les premières données de Wuhan, en Chine – l’épicentre de l’épidémie – ont montré qu’il était peu probable que les enfants souffrent d’une maladie grave ou meurent à la suite de la COVID-19.</w:t>
        <w:footnoteReference w:id="200"/>
        <w:t xml:space="preserve"> Cela a ensuite été confirmé par les données du CDC montrant que les enfants représentaient moins de 0,01 % des hospitalisations et 0,0005 % des décès dus à la COVID-19 entre le 1er mars 2020 et le 25 juillet 2020.</w:t>
        <w:footnoteReference w:id="201"/>
      </w:r>
    </w:p>
    <w:p>
      <w:pPr>
        <w:pStyle w:val="Style24"/>
        <w:keepNext w:val="0"/>
        <w:keepLines w:val="0"/>
        <w:widowControl w:val="0"/>
        <w:shd w:val="clear" w:color="auto" w:fill="auto"/>
        <w:spacing w:before="0" w:after="280"/>
        <w:ind w:left="0" w:right="0" w:firstLine="740"/>
        <w:jc w:val="left"/>
      </w:pPr>
      <w:r>
        <w:rPr>
          <w:rStyle w:val="CharStyle25"/>
        </w:rPr>
        <w:t xml:space="preserve">En outre, les données acquises par la suite ont confirmé les soupçons antérieurs de la CDC selon lesquels il était peu probable que les fermetures d’écoles enrayent la transmission de la COVID-19. </w:t>
        <w:footnoteReference w:id="202"/>
        <w:t xml:space="preserve">La science a indiqué que les écoles n'étaient pas des vecteurs de propagation virale.</w:t>
        <w:footnoteReference w:id="203"/>
        <w:t xml:space="preserve"> Les premières données islandaises ont montré que les jeunes enfants étaient moins susceptibles que les adultes de transmettre la COVID-19.</w:t>
        <w:footnoteReference w:id="204"/>
        <w:t xml:space="preserve"> Les premières données ont également montré que les enseignants, individuellement, n’avaient pas de risque plus élevé d’infection et de développer une COVID-19 grave que les autres professionnels.</w:t>
        <w:footnoteReference w:id="205"/>
      </w:r>
    </w:p>
    <w:p>
      <w:pPr>
        <w:pStyle w:val="Style24"/>
        <w:keepNext w:val="0"/>
        <w:keepLines w:val="0"/>
        <w:widowControl w:val="0"/>
        <w:shd w:val="clear" w:color="auto" w:fill="auto"/>
        <w:spacing w:before="0"/>
        <w:ind w:left="0" w:right="0" w:firstLine="760"/>
        <w:jc w:val="left"/>
      </w:pPr>
      <w:r>
        <w:rPr>
          <w:rStyle w:val="CharStyle25"/>
        </w:rPr>
        <w:t xml:space="preserve">Comparativement, les fermetures d'écoles ont eu un impact négatif immédiat sur les élèves. Beaucoup ont lutté sur le plan académique</w:t>
        <w:footnoteReference w:id="206"/>
        <w:t xml:space="preserve"> et sont devenus particulièrement sensibles aux problèmes de santé physique</w:t>
        <w:footnoteReference w:id="207"/>
        <w:t xml:space="preserve"> et mentale. </w:t>
        <w:footnoteReference w:id="208"/>
        <w:t xml:space="preserve">Ces conséquences – qui n’ont fait qu’aggraver le fait que les écoles sont restées fermées plus longtemps – n’auraient guère pu surprendre, étant donné que les fermetures précédentes avaient été considérées comme entraînant des résultats négatifs pour les élèves.</w:t>
        <w:footnoteReference w:id="209"/>
      </w:r>
    </w:p>
    <w:p>
      <w:pPr>
        <w:pStyle w:val="Style24"/>
        <w:keepNext w:val="0"/>
        <w:keepLines w:val="0"/>
        <w:widowControl w:val="0"/>
        <w:shd w:val="clear" w:color="auto" w:fill="auto"/>
        <w:spacing w:before="0" w:line="264" w:lineRule="auto"/>
        <w:ind w:left="0" w:right="0" w:firstLine="760"/>
        <w:jc w:val="left"/>
      </w:pPr>
      <w:r>
        <w:rPr>
          <w:rStyle w:val="CharStyle25"/>
        </w:rPr>
        <w:t xml:space="preserve">Malheureusement, ces conséquences désastreuses, associées à la preuve que les enfants étaient peu susceptibles de transmettre ou de souffrir d'une maladie grave en raison de la COVID-19, ont été ignorées par les autorités de santé publique. Au lieu de cela, de nombreux partisans des fermetures ne s'appuyaient apparemment que sur des données favorables ou tentaient à tort de dénaturer, de déformer ou d'exagérer les données.</w:t>
      </w:r>
    </w:p>
    <w:p>
      <w:pPr>
        <w:pStyle w:val="Style24"/>
        <w:keepNext w:val="0"/>
        <w:keepLines w:val="0"/>
        <w:widowControl w:val="0"/>
        <w:shd w:val="clear" w:color="auto" w:fill="auto"/>
        <w:spacing w:before="0"/>
        <w:ind w:left="0" w:right="0" w:firstLine="760"/>
        <w:jc w:val="left"/>
      </w:pPr>
      <w:r>
        <w:rPr>
          <w:rStyle w:val="CharStyle25"/>
        </w:rPr>
        <w:t xml:space="preserve">Par exemple, le CDC a publié une étude du comté de Wood, dans le Wisconsin, pour étayer la proposition selon laquelle les efforts d’atténuation à plusieurs niveaux – à savoir le masquage et la distanciation sociale – étaient efficaces pour réduire la transmission à l’école.</w:t>
        <w:footnoteReference w:id="210"/>
        <w:t xml:space="preserve"> Cependant, ces conclusions semblent être une grossière exagération de la portée des données, car l'étude a explicitement déclaré qu'elle n'incluait pas un groupe témoin comparatif non masqué pour tirer une telle conclusion. </w:t>
        <w:footnoteReference w:id="211"/>
      </w:r>
    </w:p>
    <w:p>
      <w:pPr>
        <w:pStyle w:val="Style24"/>
        <w:keepNext w:val="0"/>
        <w:keepLines w:val="0"/>
        <w:widowControl w:val="0"/>
        <w:shd w:val="clear" w:color="auto" w:fill="auto"/>
        <w:spacing w:before="0"/>
        <w:ind w:left="0" w:right="0" w:firstLine="760"/>
        <w:jc w:val="left"/>
      </w:pPr>
      <w:r>
        <w:rPr>
          <w:rStyle w:val="CharStyle25"/>
        </w:rPr>
        <w:t xml:space="preserve">Des études similaires n’ont pas seulement été invoquées par les responsables de la santé publique, elles ont été utilisées par les syndicats d’enseignants – en particulier l’AFT – pour faire valoir que les écoles ne pouvaient pas être ouvertes en toute sécurité sans efforts d’atténuation à plusieurs niveaux, tels que le masquage et la distanciation sociale.</w:t>
        <w:footnoteReference w:id="212"/>
        <w:t xml:space="preserve"> En fait, Mme Weingarten a cité l'étude précédemment mentionnée sur le comté de Wood, dans le Wisconsin, dans son témoignage devant le sous-comité restreint le 28 avril 2023.</w:t>
        <w:footnoteReference w:id="213"/>
        <w:t xml:space="preserve"> Cela a incité le Dr Tracy Hoeg – l’un des auteurs principaux de l’étude, qui a témoigné devant le sous-comité restreint le 28 mars 2023 </w:t>
        <w:footnoteReference w:id="214"/>
        <w:t xml:space="preserve">– à</w:t>
      </w:r>
    </w:p>
    <w:p>
      <w:pPr>
        <w:pStyle w:val="Style24"/>
        <w:keepNext w:val="0"/>
        <w:keepLines w:val="0"/>
        <w:widowControl w:val="0"/>
        <w:shd w:val="clear" w:color="auto" w:fill="auto"/>
        <w:spacing w:before="0" w:after="0" w:line="264" w:lineRule="auto"/>
        <w:ind w:left="0" w:right="0" w:firstLine="0"/>
        <w:jc w:val="left"/>
      </w:pPr>
      <w:r>
        <w:rPr>
          <w:rStyle w:val="CharStyle25"/>
        </w:rPr>
        <w:t xml:space="preserve">réprimander la conclusion de Mme Weingarten; déclarant qu'elle a ignoré les résultats de l'étude indiquant que moins de quatre pour cent des cas ont été transmis à l'école.</w:t>
        <w:footnoteReference w:id="215"/>
      </w:r>
    </w:p>
    <w:p>
      <w:pPr>
        <w:pStyle w:val="Style24"/>
        <w:keepNext w:val="0"/>
        <w:keepLines w:val="0"/>
        <w:widowControl w:val="0"/>
        <w:numPr>
          <w:ilvl w:val="0"/>
          <w:numId w:val="5"/>
        </w:numPr>
        <w:shd w:val="clear" w:color="auto" w:fill="auto"/>
        <w:tabs>
          <w:tab w:pos="725" w:val="left"/>
        </w:tabs>
        <w:spacing w:before="0" w:after="320" w:line="240" w:lineRule="auto"/>
        <w:ind w:left="0" w:right="0" w:firstLine="0"/>
        <w:jc w:val="left"/>
      </w:pPr>
      <w:r>
        <w:rPr>
          <w:rStyle w:val="CharStyle25"/>
        </w:rPr>
        <w:t xml:space="preserve">La Fédération américaine de l’influence des enseignants</w:t>
      </w:r>
    </w:p>
    <w:p>
      <w:pPr>
        <w:pStyle w:val="Style24"/>
        <w:keepNext w:val="0"/>
        <w:keepLines w:val="0"/>
        <w:widowControl w:val="0"/>
        <w:shd w:val="clear" w:color="auto" w:fill="auto"/>
        <w:spacing w:before="0" w:after="320" w:line="240" w:lineRule="auto"/>
        <w:ind w:left="0" w:right="0" w:firstLine="0"/>
        <w:jc w:val="left"/>
      </w:pPr>
      <w:r>
        <w:rPr>
          <w:rStyle w:val="CharStyle25"/>
        </w:rPr>
        <w:t xml:space="preserve">CONSTATATION : La Fédération américaine des enseignants n'est pas une organisation scientifique ou médicale.</w:t>
      </w:r>
    </w:p>
    <w:p>
      <w:pPr>
        <w:pStyle w:val="Style24"/>
        <w:keepNext w:val="0"/>
        <w:keepLines w:val="0"/>
        <w:widowControl w:val="0"/>
        <w:shd w:val="clear" w:color="auto" w:fill="auto"/>
        <w:spacing w:before="0" w:after="280"/>
        <w:ind w:left="0" w:right="0" w:firstLine="760"/>
        <w:jc w:val="left"/>
      </w:pPr>
      <w:r>
        <w:rPr>
          <w:rStyle w:val="CharStyle25"/>
        </w:rPr>
        <w:t xml:space="preserve">L’AFT n’est pas une organisation scientifique: elle n’emploie ni épidémiologistes ni immunologistes.</w:t>
        <w:footnoteReference w:id="216"/>
        <w:t xml:space="preserve"> Au lieu de cela, il s’agit d’une union politique – engagée dans l’activisme au nom de ses 1,7 million de membres – qui a fait don de 2,4 millions de dollars aux candidats démocrates au cours du cycle électoral de 2020. L’ampleur de l’influence politique de l’AFT se reflète dans le fait que l’administration Biden s’est adressée à l’AFT pour obtenir des conseils sur la réouverture des écoles plutôt que de s’adresser à l’administration Biden:</w:t>
      </w:r>
    </w:p>
    <w:p>
      <w:pPr>
        <w:pStyle w:val="Style24"/>
        <w:keepNext w:val="0"/>
        <w:keepLines w:val="0"/>
        <w:widowControl w:val="0"/>
        <w:shd w:val="clear" w:color="auto" w:fill="auto"/>
        <w:spacing w:before="0" w:after="280" w:line="259" w:lineRule="auto"/>
        <w:ind w:left="0" w:right="0" w:firstLine="760"/>
        <w:jc w:val="left"/>
      </w:pPr>
      <w:r>
        <w:rPr>
          <w:rStyle w:val="CharStyle25"/>
          <w:u w:val="single"/>
        </w:rPr>
        <w:t xml:space="preserve">Mme Randi Weingarten (26 avril 2023)</w:t>
      </w:r>
    </w:p>
    <w:p>
      <w:pPr>
        <w:pStyle w:val="Style24"/>
        <w:keepNext w:val="0"/>
        <w:keepLines w:val="0"/>
        <w:widowControl w:val="0"/>
        <w:shd w:val="clear" w:color="auto" w:fill="auto"/>
        <w:spacing w:before="0" w:after="280" w:line="259" w:lineRule="auto"/>
        <w:ind w:left="1480" w:right="0" w:hanging="720"/>
        <w:jc w:val="left"/>
      </w:pPr>
      <w:r>
        <w:rPr>
          <w:rStyle w:val="CharStyle25"/>
        </w:rPr>
        <w:t xml:space="preserve">Q. .... À quoi ressemblait la consultation? L'AFT a-t-elle d'abord engagé le CDC ou le CDC vous a-t-il contacté [l'AFT]?</w:t>
      </w:r>
    </w:p>
    <w:p>
      <w:pPr>
        <w:pStyle w:val="Style24"/>
        <w:keepNext w:val="0"/>
        <w:keepLines w:val="0"/>
        <w:widowControl w:val="0"/>
        <w:shd w:val="clear" w:color="auto" w:fill="auto"/>
        <w:spacing w:before="0" w:after="820" w:line="259" w:lineRule="auto"/>
        <w:ind w:left="1480" w:right="0" w:hanging="720"/>
        <w:jc w:val="left"/>
      </w:pPr>
      <w:r>
        <w:rPr>
          <w:rStyle w:val="CharStyle25"/>
        </w:rPr>
        <w:t xml:space="preserve">R. Donc, ce qui s'est essentiellement passé, monsieur, c'est que nous parlions à l'équipe de transition de Biden avant qu'il ne soit assermenté.</w:t>
      </w:r>
    </w:p>
    <w:p>
      <w:pPr>
        <w:pStyle w:val="Style24"/>
        <w:keepNext w:val="0"/>
        <w:keepLines w:val="0"/>
        <w:widowControl w:val="0"/>
        <w:shd w:val="clear" w:color="auto" w:fill="auto"/>
        <w:spacing w:before="0" w:after="280" w:line="259" w:lineRule="auto"/>
        <w:ind w:left="0" w:right="0" w:firstLine="760"/>
        <w:jc w:val="left"/>
      </w:pPr>
      <w:r>
        <w:rPr>
          <w:rStyle w:val="CharStyle25"/>
        </w:rPr>
        <w:t xml:space="preserve">Q. Est-ce qu'ils vous ont contacté ou...</w:t>
      </w:r>
    </w:p>
    <w:p>
      <w:pPr>
        <w:pStyle w:val="Style24"/>
        <w:keepNext w:val="0"/>
        <w:keepLines w:val="0"/>
        <w:widowControl w:val="0"/>
        <w:shd w:val="clear" w:color="auto" w:fill="auto"/>
        <w:tabs>
          <w:tab w:leader="dot" w:pos="2325" w:val="left"/>
        </w:tabs>
        <w:spacing w:before="0" w:after="280" w:line="259" w:lineRule="auto"/>
        <w:ind w:left="1480" w:right="0" w:hanging="720"/>
        <w:jc w:val="left"/>
      </w:pPr>
      <w:r>
        <w:rPr>
          <w:rStyle w:val="CharStyle25"/>
        </w:rPr>
        <w:t xml:space="preserve">R. Oui, ils ont tendu la main. Non, l'équipe de transition de Biden nous a contactés et</w:t>
        <w:tab/>
        <w:t xml:space="preserve"> </w:t>
        <w:footnoteReference w:id="217"/>
      </w:r>
    </w:p>
    <w:p>
      <w:pPr>
        <w:pStyle w:val="Style24"/>
        <w:keepNext w:val="0"/>
        <w:keepLines w:val="0"/>
        <w:widowControl w:val="0"/>
        <w:shd w:val="clear" w:color="auto" w:fill="auto"/>
        <w:spacing w:before="0" w:after="280" w:line="264" w:lineRule="auto"/>
        <w:ind w:left="0" w:right="0" w:firstLine="760"/>
        <w:jc w:val="left"/>
      </w:pPr>
      <w:r>
        <w:rPr>
          <w:rStyle w:val="CharStyle25"/>
        </w:rPr>
        <w:t xml:space="preserve">Dans une lettre adressée au sous-comité restreint le 19 avril 2023, l’AFT a contesté l’idée qu’elle n’avait « aucune expertise scientifique ».</w:t>
        <w:footnoteReference w:id="218"/>
        <w:t xml:space="preserve"> Toutefois, Mme Weingarten a admis dans son témoignage devant le sous-comité restreint qu’ils n’employaient aucun épidémiologiste ou immunologiste. </w:t>
        <w:footnoteReference w:id="219"/>
        <w:t xml:space="preserve">Le fait que l'AFT ne soit pas une organisation scientifique est soutenu par ses propres employés.</w:t>
      </w:r>
    </w:p>
    <w:p>
      <w:pPr>
        <w:pStyle w:val="Style24"/>
        <w:keepNext w:val="0"/>
        <w:keepLines w:val="0"/>
        <w:widowControl w:val="0"/>
        <w:shd w:val="clear" w:color="auto" w:fill="auto"/>
        <w:spacing w:before="0" w:after="280" w:line="240" w:lineRule="auto"/>
        <w:ind w:left="0" w:right="0" w:firstLine="760"/>
        <w:jc w:val="left"/>
      </w:pPr>
      <w:r>
        <w:rPr>
          <w:rStyle w:val="CharStyle25"/>
          <w:u w:val="single"/>
        </w:rPr>
        <w:t xml:space="preserve">Mme Kelly Nedrow (Trautner) (23 juin 2023)</w:t>
      </w:r>
    </w:p>
    <w:p>
      <w:pPr>
        <w:pStyle w:val="Style24"/>
        <w:keepNext w:val="0"/>
        <w:keepLines w:val="0"/>
        <w:widowControl w:val="0"/>
        <w:shd w:val="clear" w:color="auto" w:fill="auto"/>
        <w:spacing w:before="0" w:after="240" w:line="269" w:lineRule="auto"/>
        <w:ind w:left="1480" w:right="0" w:hanging="720"/>
        <w:jc w:val="left"/>
      </w:pPr>
      <w:r>
        <w:rPr>
          <w:rStyle w:val="CharStyle25"/>
        </w:rPr>
        <w:t xml:space="preserve">Q. Vous êtes à l’AFT deux fois et depuis plusieurs années. Est-ce que vous catégoriseriez l'AFT en tant qu'organisation scientifique ou médicale?</w:t>
      </w:r>
    </w:p>
    <w:p>
      <w:pPr>
        <w:pStyle w:val="Style24"/>
        <w:keepNext w:val="0"/>
        <w:keepLines w:val="0"/>
        <w:widowControl w:val="0"/>
        <w:shd w:val="clear" w:color="auto" w:fill="auto"/>
        <w:spacing w:before="0" w:after="300" w:line="269" w:lineRule="auto"/>
        <w:ind w:left="0" w:right="0" w:firstLine="760"/>
        <w:jc w:val="left"/>
      </w:pPr>
      <w:r>
        <w:rPr>
          <w:rStyle w:val="CharStyle25"/>
        </w:rPr>
        <w:t xml:space="preserve">A. L'AFT est un syndicat. </w:t>
        <w:footnoteReference w:id="220"/>
      </w:r>
    </w:p>
    <w:p>
      <w:pPr>
        <w:pStyle w:val="Style24"/>
        <w:keepNext w:val="0"/>
        <w:keepLines w:val="0"/>
        <w:widowControl w:val="0"/>
        <w:shd w:val="clear" w:color="auto" w:fill="auto"/>
        <w:spacing w:before="0" w:after="300" w:line="259" w:lineRule="auto"/>
        <w:ind w:left="0" w:right="0" w:firstLine="760"/>
        <w:jc w:val="left"/>
      </w:pPr>
      <w:r>
        <w:rPr>
          <w:rStyle w:val="CharStyle25"/>
        </w:rPr>
        <w:t xml:space="preserve">Par conséquent, «l’AFT était hors de sa ligue» en affirmant qu’elle disposait d’une expertise scientifique et en formulant des interprétations et des recommandations scientifiques fondées sur des politiques tout au long de la pandémie.</w:t>
        <w:footnoteReference w:id="221"/>
      </w:r>
    </w:p>
    <w:p>
      <w:pPr>
        <w:pStyle w:val="Style24"/>
        <w:keepNext w:val="0"/>
        <w:keepLines w:val="0"/>
        <w:widowControl w:val="0"/>
        <w:shd w:val="clear" w:color="auto" w:fill="auto"/>
        <w:spacing w:before="0" w:after="300" w:line="259" w:lineRule="auto"/>
        <w:ind w:left="1480" w:right="0" w:hanging="1480"/>
        <w:jc w:val="left"/>
      </w:pPr>
      <w:r>
        <w:rPr>
          <w:rStyle w:val="CharStyle25"/>
        </w:rPr>
        <w:t xml:space="preserve">CONSTATATION : La Fédération américaine des enseignants n'a pas soutenu la réouverture des écoles et a annoncé son soutien à la réouverture des écoles sur des politiques non scientifiques.</w:t>
      </w:r>
    </w:p>
    <w:p>
      <w:pPr>
        <w:pStyle w:val="Style24"/>
        <w:keepNext w:val="0"/>
        <w:keepLines w:val="0"/>
        <w:widowControl w:val="0"/>
        <w:shd w:val="clear" w:color="auto" w:fill="auto"/>
        <w:spacing w:before="0" w:after="2740"/>
        <w:ind w:left="0" w:right="0" w:firstLine="760"/>
        <w:jc w:val="left"/>
      </w:pPr>
      <w:r>
        <w:rPr>
          <w:rStyle w:val="CharStyle25"/>
        </w:rPr>
        <w:t xml:space="preserve">Bien que l'AFT et Mme Weingarten aient tenté de réécrire l'histoire en faisant valoir qu'elles essayaient toujours de rouvrir les écoles, ce n'est tout simplement pas vrai. L'AFT n'a cessé de pousser à la fermeture des écoles tout au long de la pandémie. Restreindre la scolarisation en présentiel a toujours été la mesure d’atténuation par défaut – et non l’alternative – qui sous-tend les positions de l’AFT.</w:t>
      </w:r>
    </w:p>
    <w:p>
      <w:pPr>
        <w:pStyle w:val="Style24"/>
        <w:keepNext w:val="0"/>
        <w:keepLines w:val="0"/>
        <w:widowControl w:val="0"/>
        <w:shd w:val="clear" w:color="auto" w:fill="auto"/>
        <w:spacing w:before="0" w:after="300" w:line="240" w:lineRule="auto"/>
        <w:ind w:left="0" w:right="0" w:firstLine="0"/>
        <w:jc w:val="center"/>
      </w:pPr>
      <w:r>
        <w:rPr>
          <w:rStyle w:val="CharStyle25"/>
        </w:rPr>
        <w:t xml:space="preserve">[REMAINDER OF PAGE INTENTIONALLY BLANK]</w:t>
      </w:r>
    </w:p>
    <w:p>
      <w:pPr>
        <w:pStyle w:val="Style24"/>
        <w:keepNext w:val="0"/>
        <w:keepLines w:val="0"/>
        <w:widowControl w:val="0"/>
        <w:shd w:val="clear" w:color="auto" w:fill="auto"/>
        <w:tabs>
          <w:tab w:pos="3797" w:val="left"/>
        </w:tabs>
        <w:spacing w:before="0" w:after="0" w:line="161" w:lineRule="auto"/>
        <w:ind w:left="0" w:right="0" w:firstLine="0"/>
        <w:jc w:val="center"/>
        <w:rPr>
          <w:sz w:val="20"/>
        </w:rPr>
      </w:pPr>
      <w:r>
        <w:rPr>
          <w:rStyle w:val="CharStyle25"/>
          <w:color w:val="303030"/>
          <w:sz w:val="20"/>
        </w:rPr>
        <w:t xml:space="preserve">Randi Weingarten </w:t>
      </w:r>
      <w:r>
        <w:rPr>
          <w:rStyle w:val="CharStyle25"/>
          <w:color w:val="656361"/>
          <w:sz w:val="20"/>
        </w:rPr>
        <w:t xml:space="preserve">"Z </w:t>
      </w:r>
      <w:r>
        <w:rPr>
          <w:rStyle w:val="CharStyle25"/>
          <w:color w:val="464648"/>
          <w:sz w:val="20"/>
        </w:rPr>
        <w:t xml:space="preserve">X </w:t>
      </w:r>
      <w:r>
        <w:rPr>
          <w:rStyle w:val="CharStyle25"/>
          <w:color w:val="AA8ED4"/>
          <w:sz w:val="20"/>
        </w:rPr>
        <w:t xml:space="preserve">• </w:t>
      </w:r>
      <w:r>
        <w:rPr>
          <w:rStyle w:val="CharStyle25"/>
          <w:color w:val="3394D6"/>
          <w:sz w:val="20"/>
        </w:rPr>
        <w:t xml:space="preserve">© </w:t>
      </w:r>
      <w:r>
        <w:rPr>
          <w:rStyle w:val="CharStyle25"/>
          <w:color w:val="656361"/>
          <w:sz w:val="20"/>
        </w:rPr>
        <w:t>•</w:t>
      </w:r>
    </w:p>
    <w:p>
      <w:pPr>
        <w:pStyle w:val="Style24"/>
        <w:keepNext w:val="0"/>
        <w:keepLines w:val="0"/>
        <w:widowControl w:val="0"/>
        <w:shd w:val="clear" w:color="auto" w:fill="auto"/>
        <w:spacing w:before="0" w:after="140" w:line="161" w:lineRule="auto"/>
        <w:ind w:left="2900" w:right="0" w:firstLine="0"/>
        <w:jc w:val="left"/>
        <w:rPr>
          <w:sz w:val="20"/>
        </w:rPr>
      </w:pPr>
      <w:r>
        <w:rPr>
          <w:rStyle w:val="CharStyle25"/>
          <w:color w:val="A0A1A1"/>
          <w:sz w:val="20"/>
        </w:rPr>
        <w:t>©rweingarten</w:t>
      </w:r>
    </w:p>
    <w:p>
      <w:pPr>
        <w:pStyle w:val="Style18"/>
        <w:keepNext w:val="0"/>
        <w:keepLines w:val="0"/>
        <w:widowControl w:val="0"/>
        <w:shd w:val="clear" w:color="auto" w:fill="auto"/>
        <w:spacing w:before="0" w:after="0" w:line="317" w:lineRule="auto"/>
        <w:ind w:left="2540" w:right="0" w:firstLine="0"/>
        <w:jc w:val="left"/>
        <w:rPr>
          <w:sz w:val="12"/>
        </w:rPr>
      </w:pPr>
      <w:r>
        <w:rPr>
          <w:rStyle w:val="CharStyle19"/>
          <w:rFonts w:ascii="Arial" w:hAnsi="Arial" w:cs="Arial" w:eastAsia="Arial"/>
          <w:color w:val="464648"/>
          <w:sz w:val="12"/>
        </w:rPr>
        <w:t xml:space="preserve">Ce qui </w:t>
      </w:r>
      <w:r>
        <w:rPr>
          <w:rStyle w:val="CharStyle19"/>
          <w:rFonts w:ascii="Arial" w:hAnsi="Arial" w:cs="Arial" w:eastAsia="Arial"/>
          <w:color w:val="303030"/>
          <w:sz w:val="12"/>
        </w:rPr>
        <w:t xml:space="preserve">est faux, c’est </w:t>
      </w:r>
      <w:r>
        <w:rPr>
          <w:rStyle w:val="CharStyle19"/>
          <w:rFonts w:ascii="Arial" w:hAnsi="Arial" w:cs="Arial" w:eastAsia="Arial"/>
          <w:color w:val="464648"/>
          <w:sz w:val="12"/>
        </w:rPr>
        <w:t xml:space="preserve">la </w:t>
      </w:r>
      <w:r>
        <w:rPr>
          <w:rStyle w:val="CharStyle19"/>
          <w:rFonts w:ascii="Arial" w:hAnsi="Arial" w:cs="Arial" w:eastAsia="Arial"/>
          <w:color w:val="656361"/>
          <w:sz w:val="12"/>
        </w:rPr>
        <w:t xml:space="preserve">note de la communauté, et non </w:t>
      </w:r>
      <w:r>
        <w:rPr>
          <w:rStyle w:val="CharStyle19"/>
          <w:rFonts w:ascii="Arial" w:hAnsi="Arial" w:cs="Arial" w:eastAsia="Arial"/>
          <w:color w:val="60BEE0"/>
          <w:sz w:val="12"/>
        </w:rPr>
        <w:t>@PoIitiFact:</w:t>
      </w:r>
    </w:p>
    <w:p>
      <w:pPr>
        <w:pStyle w:val="Style18"/>
        <w:keepNext w:val="0"/>
        <w:keepLines w:val="0"/>
        <w:widowControl w:val="0"/>
        <w:shd w:val="clear" w:color="auto" w:fill="auto"/>
        <w:spacing w:before="0" w:after="140" w:line="317" w:lineRule="auto"/>
        <w:ind w:left="2540" w:right="0" w:firstLine="0"/>
        <w:jc w:val="left"/>
        <w:rPr>
          <w:sz w:val="12"/>
        </w:rPr>
      </w:pPr>
      <w:r>
        <w:rPr>
          <w:rStyle w:val="CharStyle19"/>
          <w:rFonts w:ascii="Arial" w:hAnsi="Arial" w:cs="Arial" w:eastAsia="Arial"/>
          <w:color w:val="464648"/>
          <w:sz w:val="12"/>
        </w:rPr>
        <w:t xml:space="preserve">Ma véritable citation du </w:t>
      </w:r>
      <w:r>
        <w:rPr>
          <w:rStyle w:val="CharStyle19"/>
          <w:rFonts w:ascii="Arial" w:hAnsi="Arial" w:cs="Arial" w:eastAsia="Arial"/>
          <w:color w:val="60BEE0"/>
          <w:sz w:val="12"/>
        </w:rPr>
        <w:t xml:space="preserve">©gardien: </w:t>
      </w:r>
      <w:r>
        <w:rPr>
          <w:rStyle w:val="CharStyle19"/>
          <w:rFonts w:ascii="Arial" w:hAnsi="Arial" w:cs="Arial" w:eastAsia="Arial"/>
          <w:color w:val="464648"/>
          <w:sz w:val="12"/>
        </w:rPr>
        <w:t xml:space="preserve"> </w:t>
      </w:r>
      <w:r>
        <w:rPr>
          <w:rStyle w:val="CharStyle19"/>
          <w:rFonts w:ascii="Arial" w:hAnsi="Arial" w:cs="Arial" w:eastAsia="Arial"/>
          <w:color w:val="656361"/>
          <w:sz w:val="12"/>
          <w:vertAlign w:val="superscript"/>
        </w:rPr>
        <w:t>w</w:t>
      </w:r>
      <w:r>
        <w:rPr>
          <w:rStyle w:val="CharStyle19"/>
          <w:rFonts w:ascii="Arial" w:hAnsi="Arial" w:cs="Arial" w:eastAsia="Arial"/>
          <w:color w:val="656361"/>
          <w:sz w:val="12"/>
        </w:rPr>
        <w:t xml:space="preserve"> </w:t>
      </w:r>
      <w:r>
        <w:rPr>
          <w:rStyle w:val="CharStyle19"/>
          <w:rFonts w:ascii="Arial" w:hAnsi="Arial" w:cs="Arial" w:eastAsia="Arial"/>
          <w:color w:val="464648"/>
          <w:sz w:val="12"/>
        </w:rPr>
        <w:t xml:space="preserve">C’est comme </w:t>
      </w:r>
      <w:r>
        <w:rPr>
          <w:rStyle w:val="CharStyle19"/>
          <w:rFonts w:ascii="Arial" w:hAnsi="Arial" w:cs="Arial" w:eastAsia="Arial"/>
          <w:color w:val="303030"/>
          <w:sz w:val="12"/>
        </w:rPr>
        <w:t xml:space="preserve">si </w:t>
      </w:r>
      <w:r>
        <w:rPr>
          <w:rStyle w:val="CharStyle19"/>
          <w:rFonts w:ascii="Arial" w:hAnsi="Arial" w:cs="Arial" w:eastAsia="Arial"/>
          <w:color w:val="464648"/>
          <w:sz w:val="12"/>
        </w:rPr>
        <w:t xml:space="preserve">Trump et DeVos voulaient </w:t>
      </w:r>
      <w:r>
        <w:rPr>
          <w:rStyle w:val="CharStyle19"/>
          <w:rFonts w:ascii="Arial" w:hAnsi="Arial" w:cs="Arial" w:eastAsia="Arial"/>
          <w:color w:val="303030"/>
          <w:sz w:val="12"/>
        </w:rPr>
        <w:t xml:space="preserve">créer </w:t>
      </w:r>
      <w:r>
        <w:rPr>
          <w:rStyle w:val="CharStyle19"/>
          <w:rFonts w:ascii="Arial" w:hAnsi="Arial" w:cs="Arial" w:eastAsia="Arial"/>
          <w:color w:val="464648"/>
          <w:sz w:val="12"/>
        </w:rPr>
        <w:t xml:space="preserve">le chaos </w:t>
      </w:r>
      <w:r>
        <w:rPr>
          <w:rStyle w:val="CharStyle19"/>
          <w:rFonts w:ascii="Arial" w:hAnsi="Arial" w:cs="Arial" w:eastAsia="Arial"/>
          <w:color w:val="656361"/>
          <w:sz w:val="12"/>
        </w:rPr>
        <w:t xml:space="preserve">et mettre </w:t>
      </w:r>
      <w:r>
        <w:rPr>
          <w:rStyle w:val="CharStyle19"/>
          <w:rFonts w:ascii="Arial" w:hAnsi="Arial" w:cs="Arial" w:eastAsia="Arial"/>
          <w:color w:val="303030"/>
          <w:sz w:val="12"/>
        </w:rPr>
        <w:t xml:space="preserve">en péril </w:t>
      </w:r>
      <w:r>
        <w:rPr>
          <w:rStyle w:val="CharStyle19"/>
          <w:rFonts w:ascii="Arial" w:hAnsi="Arial" w:cs="Arial" w:eastAsia="Arial"/>
          <w:color w:val="464648"/>
          <w:sz w:val="12"/>
        </w:rPr>
        <w:t xml:space="preserve"> </w:t>
      </w:r>
      <w:r>
        <w:rPr>
          <w:rStyle w:val="CharStyle19"/>
          <w:rFonts w:ascii="Arial" w:hAnsi="Arial" w:cs="Arial" w:eastAsia="Arial"/>
          <w:color w:val="656361"/>
          <w:sz w:val="12"/>
        </w:rPr>
        <w:t xml:space="preserve">la réouverture. Il n’y a pas d’autre </w:t>
      </w:r>
      <w:r>
        <w:rPr>
          <w:rStyle w:val="CharStyle19"/>
          <w:rFonts w:ascii="Arial" w:hAnsi="Arial" w:cs="Arial" w:eastAsia="Arial"/>
          <w:color w:val="656361"/>
          <w:sz w:val="12"/>
        </w:rPr>
        <w:t xml:space="preserve">raison pour qu’ils soient </w:t>
      </w:r>
      <w:r>
        <w:rPr>
          <w:rStyle w:val="CharStyle19"/>
          <w:rFonts w:ascii="Arial" w:hAnsi="Arial" w:cs="Arial" w:eastAsia="Arial"/>
          <w:color w:val="656361"/>
          <w:sz w:val="12"/>
        </w:rPr>
        <w:t xml:space="preserve"> </w:t>
      </w:r>
      <w:r>
        <w:rPr>
          <w:rStyle w:val="CharStyle19"/>
          <w:rFonts w:ascii="Arial" w:hAnsi="Arial" w:cs="Arial" w:eastAsia="Arial"/>
          <w:color w:val="656361"/>
          <w:sz w:val="12"/>
        </w:rPr>
        <w:t xml:space="preserve">aussi </w:t>
      </w:r>
      <w:r>
        <w:rPr>
          <w:rStyle w:val="CharStyle19"/>
          <w:rFonts w:ascii="Arial" w:hAnsi="Arial" w:cs="Arial" w:eastAsia="Arial"/>
          <w:color w:val="656361"/>
          <w:sz w:val="12"/>
        </w:rPr>
        <w:t xml:space="preserve">imprudents, aussi </w:t>
      </w:r>
      <w:r>
        <w:rPr>
          <w:rStyle w:val="CharStyle19"/>
          <w:rFonts w:ascii="Arial" w:hAnsi="Arial" w:cs="Arial" w:eastAsia="Arial"/>
          <w:color w:val="656361"/>
          <w:sz w:val="12"/>
        </w:rPr>
        <w:t xml:space="preserve">impitoyables, </w:t>
      </w:r>
      <w:r>
        <w:rPr>
          <w:rStyle w:val="CharStyle19"/>
          <w:rFonts w:ascii="Arial" w:hAnsi="Arial" w:cs="Arial" w:eastAsia="Arial"/>
          <w:color w:val="656361"/>
          <w:sz w:val="12"/>
        </w:rPr>
        <w:t xml:space="preserve">aussi </w:t>
      </w:r>
      <w:r>
        <w:rPr>
          <w:rStyle w:val="CharStyle19"/>
          <w:rFonts w:ascii="Arial" w:hAnsi="Arial" w:cs="Arial" w:eastAsia="Arial"/>
          <w:color w:val="656361"/>
          <w:sz w:val="12"/>
        </w:rPr>
        <w:t>cruels.»</w:t>
      </w:r>
      <w:r>
        <w:rPr>
          <w:rStyle w:val="CharStyle19"/>
          <w:rFonts w:ascii="Arial" w:hAnsi="Arial" w:cs="Arial" w:eastAsia="Arial"/>
          <w:color w:val="656361"/>
          <w:sz w:val="12"/>
        </w:rPr>
        <w:t xml:space="preserve"> </w:t>
      </w:r>
    </w:p>
    <w:p>
      <w:pPr>
        <w:pStyle w:val="Style24"/>
        <w:keepNext w:val="0"/>
        <w:keepLines w:val="0"/>
        <w:widowControl w:val="0"/>
        <w:shd w:val="clear" w:color="auto" w:fill="auto"/>
        <w:spacing w:before="0" w:after="0" w:line="161" w:lineRule="auto"/>
        <w:ind w:left="2640" w:right="0" w:firstLine="0"/>
        <w:jc w:val="left"/>
        <w:rPr>
          <w:sz w:val="20"/>
        </w:rPr>
      </w:pPr>
      <w:r>
        <w:rPr>
          <w:rStyle w:val="CharStyle25"/>
          <w:rFonts w:ascii="Arial" w:hAnsi="Arial" w:cs="Arial" w:eastAsia="Arial"/>
          <w:color w:val="464648"/>
          <w:sz w:val="10"/>
        </w:rPr>
        <w:t xml:space="preserve">4^ </w:t>
      </w:r>
      <w:r>
        <w:rPr>
          <w:rStyle w:val="CharStyle25"/>
          <w:color w:val="303030"/>
          <w:sz w:val="20"/>
        </w:rPr>
        <w:t xml:space="preserve">Randi Weingarten </w:t>
      </w:r>
      <w:r>
        <w:rPr>
          <w:rStyle w:val="CharStyle25"/>
          <w:color w:val="656361"/>
          <w:sz w:val="20"/>
          <w:vertAlign w:val="superscript"/>
        </w:rPr>
        <w:t>—</w:t>
      </w:r>
      <w:r>
        <w:rPr>
          <w:rStyle w:val="CharStyle25"/>
          <w:color w:val="656361"/>
          <w:sz w:val="20"/>
        </w:rPr>
        <w:t xml:space="preserve"> </w:t>
      </w:r>
      <w:r>
        <w:rPr>
          <w:rStyle w:val="CharStyle25"/>
          <w:i/>
          <w:color w:val="A0A1A1"/>
          <w:sz w:val="20"/>
        </w:rPr>
        <w:t>M&amp;e</w:t>
      </w:r>
      <w:r>
        <w:rPr>
          <w:rStyle w:val="CharStyle25"/>
          <w:color w:val="A0A1A1"/>
          <w:sz w:val="20"/>
        </w:rPr>
        <w:t xml:space="preserve"> ©rweingarten • 2 mai 2023</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464648"/>
          <w:sz w:val="20"/>
        </w:rPr>
        <w:t xml:space="preserve">PolitiFact ] </w:t>
      </w:r>
      <w:r>
        <w:rPr>
          <w:rStyle w:val="CharStyle25"/>
          <w:color w:val="656361"/>
          <w:sz w:val="20"/>
        </w:rPr>
        <w:t xml:space="preserve">Voici ce que Randi Weingarten, de l’AFT, </w:t>
      </w:r>
      <w:r>
        <w:rPr>
          <w:rStyle w:val="CharStyle25"/>
          <w:color w:val="464648"/>
          <w:sz w:val="20"/>
        </w:rPr>
        <w:t xml:space="preserve">a déclaré à propos de </w:t>
      </w:r>
      <w:r>
        <w:rPr>
          <w:rStyle w:val="CharStyle25"/>
          <w:color w:val="656361"/>
          <w:sz w:val="20"/>
        </w:rPr>
        <w:t xml:space="preserve">la réouverture </w:t>
      </w:r>
      <w:r>
        <w:rPr>
          <w:rStyle w:val="CharStyle25"/>
          <w:color w:val="656361"/>
          <w:sz w:val="20"/>
        </w:rPr>
        <w:t xml:space="preserve">des écoles </w:t>
      </w:r>
      <w:r>
        <w:rPr>
          <w:rStyle w:val="CharStyle25"/>
          <w:color w:val="656361"/>
          <w:sz w:val="20"/>
        </w:rPr>
        <w:t xml:space="preserve">pendant la pandémie de COVID-19 politifact.com/article/2023/m...</w:t>
      </w:r>
    </w:p>
    <w:p>
      <w:pPr>
        <w:pStyle w:val="Style24"/>
        <w:keepNext w:val="0"/>
        <w:keepLines w:val="0"/>
        <w:widowControl w:val="0"/>
        <w:shd w:val="clear" w:color="auto" w:fill="auto"/>
        <w:spacing w:before="0" w:after="80" w:line="161" w:lineRule="auto"/>
        <w:ind w:left="2840" w:right="0" w:firstLine="0"/>
        <w:jc w:val="left"/>
        <w:rPr>
          <w:sz w:val="20"/>
        </w:rPr>
      </w:pPr>
      <w:r>
        <w:rPr>
          <w:rStyle w:val="CharStyle25"/>
          <w:color w:val="303030"/>
          <w:sz w:val="20"/>
        </w:rPr>
        <w:t xml:space="preserve">Les lecteurs ont ajouté le contexte</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464648"/>
          <w:sz w:val="20"/>
        </w:rPr>
        <w:t xml:space="preserve">Weingarten </w:t>
      </w:r>
      <w:r>
        <w:rPr>
          <w:rStyle w:val="CharStyle25"/>
          <w:color w:val="656361"/>
          <w:sz w:val="20"/>
        </w:rPr>
        <w:t xml:space="preserve">déforme </w:t>
      </w:r>
      <w:r>
        <w:rPr>
          <w:rStyle w:val="CharStyle25"/>
          <w:color w:val="464648"/>
          <w:sz w:val="20"/>
        </w:rPr>
        <w:t xml:space="preserve">ses positions antérieures. </w:t>
      </w:r>
      <w:r>
        <w:rPr>
          <w:rStyle w:val="CharStyle25"/>
          <w:color w:val="656361"/>
          <w:sz w:val="20"/>
        </w:rPr>
        <w:t xml:space="preserve">Elle a </w:t>
      </w:r>
      <w:r>
        <w:rPr>
          <w:rStyle w:val="CharStyle25"/>
          <w:color w:val="464648"/>
          <w:sz w:val="20"/>
        </w:rPr>
        <w:t xml:space="preserve">qualifié les tentatives de réouverture </w:t>
      </w:r>
      <w:r>
        <w:rPr>
          <w:rStyle w:val="CharStyle25"/>
          <w:color w:val="656361"/>
          <w:sz w:val="20"/>
        </w:rPr>
        <w:t xml:space="preserve">des écoles à l'automne </w:t>
      </w:r>
      <w:r>
        <w:rPr>
          <w:rStyle w:val="CharStyle25"/>
          <w:color w:val="464648"/>
          <w:sz w:val="20"/>
        </w:rPr>
        <w:t xml:space="preserve">2020 de </w:t>
      </w:r>
      <w:r>
        <w:rPr>
          <w:rStyle w:val="CharStyle25"/>
          <w:color w:val="656361"/>
          <w:sz w:val="20"/>
        </w:rPr>
        <w:t xml:space="preserve">«imprudentes, impitoyables, cruelles»</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60BEE0"/>
          <w:sz w:val="20"/>
        </w:rPr>
        <w:t>theguardian.eom/us-news/2020/j...</w:t>
      </w:r>
    </w:p>
    <w:p>
      <w:pPr>
        <w:pStyle w:val="Style24"/>
        <w:keepNext w:val="0"/>
        <w:keepLines w:val="0"/>
        <w:widowControl w:val="0"/>
        <w:shd w:val="clear" w:color="auto" w:fill="auto"/>
        <w:spacing w:before="0" w:after="140" w:line="156" w:lineRule="auto"/>
        <w:ind w:left="2640" w:right="0" w:firstLine="0"/>
        <w:jc w:val="left"/>
        <w:rPr>
          <w:sz w:val="20"/>
        </w:rPr>
      </w:pPr>
      <w:r>
        <w:rPr>
          <w:rStyle w:val="CharStyle25"/>
          <w:color w:val="303030"/>
          <w:sz w:val="20"/>
        </w:rPr>
        <w:t xml:space="preserve">Son </w:t>
      </w:r>
      <w:r>
        <w:rPr>
          <w:rStyle w:val="CharStyle25"/>
          <w:color w:val="656361"/>
          <w:sz w:val="20"/>
        </w:rPr>
        <w:t xml:space="preserve">syndicat a poussé </w:t>
      </w:r>
      <w:r>
        <w:rPr>
          <w:rStyle w:val="CharStyle25"/>
          <w:color w:val="464648"/>
          <w:sz w:val="20"/>
        </w:rPr>
        <w:t xml:space="preserve">agressivement </w:t>
      </w:r>
      <w:r>
        <w:rPr>
          <w:rStyle w:val="CharStyle25"/>
          <w:color w:val="303030"/>
          <w:sz w:val="20"/>
        </w:rPr>
        <w:t xml:space="preserve">au </w:t>
      </w:r>
      <w:r>
        <w:rPr>
          <w:rStyle w:val="CharStyle25"/>
          <w:color w:val="464648"/>
          <w:sz w:val="20"/>
        </w:rPr>
        <w:t xml:space="preserve">niveau local </w:t>
      </w:r>
      <w:r>
        <w:rPr>
          <w:rStyle w:val="CharStyle25"/>
          <w:color w:val="60BEE0"/>
          <w:sz w:val="20"/>
        </w:rPr>
        <w:t>edweek.org/teaching-leam...</w:t>
      </w:r>
    </w:p>
    <w:p>
      <w:pPr>
        <w:pStyle w:val="Style24"/>
        <w:keepNext w:val="0"/>
        <w:keepLines w:val="0"/>
        <w:widowControl w:val="0"/>
        <w:shd w:val="clear" w:color="auto" w:fill="auto"/>
        <w:spacing w:before="0" w:after="140" w:line="166" w:lineRule="auto"/>
        <w:ind w:left="2640" w:right="0" w:firstLine="0"/>
        <w:jc w:val="left"/>
        <w:rPr>
          <w:sz w:val="20"/>
        </w:rPr>
      </w:pPr>
      <w:r>
        <w:rPr>
          <w:rStyle w:val="CharStyle25"/>
          <w:color w:val="464648"/>
          <w:sz w:val="20"/>
        </w:rPr>
        <w:t xml:space="preserve">Les zones à forte </w:t>
      </w:r>
      <w:r>
        <w:rPr>
          <w:rStyle w:val="CharStyle25"/>
          <w:color w:val="656361"/>
          <w:sz w:val="20"/>
        </w:rPr>
        <w:t xml:space="preserve">influence syndicale sont restées </w:t>
      </w:r>
      <w:r>
        <w:rPr>
          <w:rStyle w:val="CharStyle25"/>
          <w:color w:val="464648"/>
          <w:sz w:val="20"/>
        </w:rPr>
        <w:t xml:space="preserve">fermées </w:t>
      </w:r>
      <w:r>
        <w:rPr>
          <w:rStyle w:val="CharStyle25"/>
          <w:color w:val="656361"/>
          <w:sz w:val="20"/>
        </w:rPr>
        <w:t xml:space="preserve">beaucoup plus longtemps </w:t>
      </w:r>
      <w:r>
        <w:rPr>
          <w:rStyle w:val="CharStyle25"/>
          <w:color w:val="60BEE0"/>
          <w:sz w:val="20"/>
        </w:rPr>
        <w:t>retumtoleamtracker.net/instructionaL—</w:t>
      </w:r>
    </w:p>
    <w:p>
      <w:pPr>
        <w:pStyle w:val="Style24"/>
        <w:keepNext w:val="0"/>
        <w:keepLines w:val="0"/>
        <w:widowControl w:val="0"/>
        <w:shd w:val="clear" w:color="auto" w:fill="auto"/>
        <w:spacing w:before="0" w:after="0" w:line="161" w:lineRule="auto"/>
        <w:ind w:left="2640" w:right="0" w:firstLine="0"/>
        <w:jc w:val="left"/>
        <w:rPr>
          <w:sz w:val="20"/>
        </w:rPr>
      </w:pPr>
      <w:r>
        <w:rPr>
          <w:rStyle w:val="CharStyle25"/>
          <w:color w:val="656361"/>
          <w:sz w:val="20"/>
        </w:rPr>
        <w:t xml:space="preserve">Ils se sont poursuivis </w:t>
      </w:r>
      <w:r>
        <w:rPr>
          <w:rStyle w:val="CharStyle25"/>
          <w:color w:val="464648"/>
          <w:sz w:val="20"/>
        </w:rPr>
        <w:t xml:space="preserve">en </w:t>
      </w:r>
      <w:r>
        <w:rPr>
          <w:rStyle w:val="CharStyle25"/>
          <w:color w:val="303030"/>
          <w:sz w:val="20"/>
        </w:rPr>
        <w:t>2022.</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60BEE0"/>
          <w:sz w:val="20"/>
        </w:rPr>
        <w:t>nytimes.com/2022/01/08/us/...</w:t>
      </w:r>
    </w:p>
    <w:p>
      <w:pPr>
        <w:pStyle w:val="Style24"/>
        <w:keepNext w:val="0"/>
        <w:keepLines w:val="0"/>
        <w:widowControl w:val="0"/>
        <w:shd w:val="clear" w:color="auto" w:fill="auto"/>
        <w:tabs>
          <w:tab w:pos="6262" w:val="left"/>
        </w:tabs>
        <w:spacing w:before="0" w:after="320" w:line="161" w:lineRule="auto"/>
        <w:ind w:left="2640" w:right="0" w:firstLine="0"/>
        <w:jc w:val="left"/>
        <w:rPr>
          <w:sz w:val="20"/>
        </w:rPr>
      </w:pPr>
      <w:r>
        <w:rPr>
          <w:rStyle w:val="CharStyle25"/>
          <w:color w:val="464648"/>
          <w:sz w:val="20"/>
        </w:rPr>
        <w:t xml:space="preserve">Vous </w:t>
      </w:r>
      <w:r>
        <w:rPr>
          <w:rStyle w:val="CharStyle25"/>
          <w:color w:val="656361"/>
          <w:sz w:val="20"/>
        </w:rPr>
        <w:t xml:space="preserve">trouvez </w:t>
      </w:r>
      <w:r>
        <w:rPr>
          <w:rStyle w:val="CharStyle25"/>
          <w:color w:val="464648"/>
          <w:sz w:val="20"/>
        </w:rPr>
        <w:t xml:space="preserve">ça </w:t>
      </w:r>
      <w:r>
        <w:rPr>
          <w:rStyle w:val="CharStyle25"/>
          <w:color w:val="656361"/>
          <w:sz w:val="20"/>
        </w:rPr>
        <w:t>utile?</w:t>
        <w:tab/>
      </w:r>
      <w:r>
        <w:rPr>
          <w:rStyle w:val="CharStyle25"/>
          <w:color w:val="303030"/>
          <w:sz w:val="20"/>
        </w:rPr>
        <w:t xml:space="preserve">Évaluez-le </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303030"/>
          <w:sz w:val="20"/>
        </w:rPr>
        <w:t xml:space="preserve">££ Les lecteurs ont ajouté un contexte qu'ils pensaient que les gens pourraient vouloir savoir</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464648"/>
          <w:sz w:val="20"/>
        </w:rPr>
        <w:t xml:space="preserve">Weingarten déforme </w:t>
      </w:r>
      <w:r>
        <w:rPr>
          <w:rStyle w:val="CharStyle25"/>
          <w:color w:val="303030"/>
          <w:sz w:val="20"/>
        </w:rPr>
        <w:t xml:space="preserve">ses </w:t>
      </w:r>
      <w:r>
        <w:rPr>
          <w:rStyle w:val="CharStyle25"/>
          <w:color w:val="464648"/>
          <w:sz w:val="20"/>
        </w:rPr>
        <w:t xml:space="preserve">positions antérieures. Elle a qualifié </w:t>
      </w:r>
      <w:r>
        <w:rPr>
          <w:rStyle w:val="CharStyle25"/>
          <w:color w:val="303030"/>
          <w:sz w:val="20"/>
        </w:rPr>
        <w:t xml:space="preserve">les tentatives de réouverture </w:t>
      </w:r>
      <w:r>
        <w:rPr>
          <w:rStyle w:val="CharStyle25"/>
          <w:color w:val="656361"/>
          <w:sz w:val="20"/>
        </w:rPr>
        <w:t xml:space="preserve">des écoles </w:t>
      </w:r>
      <w:r>
        <w:rPr>
          <w:rStyle w:val="CharStyle25"/>
          <w:color w:val="464648"/>
          <w:sz w:val="20"/>
        </w:rPr>
        <w:t xml:space="preserve">à </w:t>
      </w:r>
      <w:r>
        <w:rPr>
          <w:rStyle w:val="CharStyle25"/>
          <w:color w:val="656361"/>
          <w:sz w:val="20"/>
        </w:rPr>
        <w:t xml:space="preserve">l'automne </w:t>
      </w:r>
      <w:r>
        <w:rPr>
          <w:rStyle w:val="CharStyle25"/>
          <w:color w:val="464648"/>
          <w:sz w:val="20"/>
        </w:rPr>
        <w:t xml:space="preserve">2020 de «imprudentes, </w:t>
      </w:r>
      <w:r>
        <w:rPr>
          <w:rStyle w:val="CharStyle25"/>
          <w:color w:val="656361"/>
          <w:sz w:val="20"/>
        </w:rPr>
        <w:t xml:space="preserve">impitoyables, cruelles»</w:t>
      </w:r>
    </w:p>
    <w:p>
      <w:pPr>
        <w:pStyle w:val="Style24"/>
        <w:keepNext w:val="0"/>
        <w:keepLines w:val="0"/>
        <w:widowControl w:val="0"/>
        <w:shd w:val="clear" w:color="auto" w:fill="auto"/>
        <w:spacing w:before="0" w:after="140" w:line="161" w:lineRule="auto"/>
        <w:ind w:left="2640" w:right="0" w:firstLine="0"/>
        <w:jc w:val="left"/>
        <w:rPr>
          <w:sz w:val="20"/>
        </w:rPr>
      </w:pPr>
      <w:r>
        <w:rPr>
          <w:rStyle w:val="CharStyle25"/>
          <w:color w:val="60BEE0"/>
          <w:sz w:val="20"/>
        </w:rPr>
        <w:t>theguardian.eom/us-news/2020/j...</w:t>
      </w:r>
    </w:p>
    <w:p>
      <w:pPr>
        <w:pStyle w:val="Style24"/>
        <w:keepNext w:val="0"/>
        <w:keepLines w:val="0"/>
        <w:widowControl w:val="0"/>
        <w:shd w:val="clear" w:color="auto" w:fill="auto"/>
        <w:spacing w:before="0" w:after="140" w:line="156" w:lineRule="auto"/>
        <w:ind w:left="2640" w:right="0" w:firstLine="0"/>
        <w:jc w:val="left"/>
        <w:rPr>
          <w:sz w:val="20"/>
        </w:rPr>
      </w:pPr>
      <w:r>
        <w:rPr>
          <w:rStyle w:val="CharStyle25"/>
          <w:color w:val="303030"/>
          <w:sz w:val="20"/>
        </w:rPr>
        <w:t xml:space="preserve">Son </w:t>
      </w:r>
      <w:r>
        <w:rPr>
          <w:rStyle w:val="CharStyle25"/>
          <w:color w:val="656361"/>
          <w:sz w:val="20"/>
        </w:rPr>
        <w:t xml:space="preserve">syndicat a poussé </w:t>
      </w:r>
      <w:r>
        <w:rPr>
          <w:rStyle w:val="CharStyle25"/>
          <w:color w:val="303030"/>
          <w:sz w:val="20"/>
        </w:rPr>
        <w:t xml:space="preserve">agressivement au </w:t>
      </w:r>
      <w:r>
        <w:rPr>
          <w:rStyle w:val="CharStyle25"/>
          <w:color w:val="464648"/>
          <w:sz w:val="20"/>
        </w:rPr>
        <w:t xml:space="preserve">niveau </w:t>
      </w:r>
      <w:r>
        <w:rPr>
          <w:rStyle w:val="CharStyle25"/>
          <w:color w:val="303030"/>
          <w:sz w:val="20"/>
        </w:rPr>
        <w:t>local</w:t>
      </w:r>
      <w:r>
        <w:rPr>
          <w:rStyle w:val="CharStyle25"/>
          <w:color w:val="60BEE0"/>
          <w:sz w:val="20"/>
        </w:rPr>
        <w:t>edweek.org/teaching-learn...</w:t>
      </w:r>
    </w:p>
    <w:p>
      <w:pPr>
        <w:pStyle w:val="Style24"/>
        <w:keepNext w:val="0"/>
        <w:keepLines w:val="0"/>
        <w:widowControl w:val="0"/>
        <w:shd w:val="clear" w:color="auto" w:fill="auto"/>
        <w:spacing w:before="0" w:after="140" w:line="170" w:lineRule="auto"/>
        <w:ind w:left="2640" w:right="0" w:firstLine="0"/>
        <w:jc w:val="left"/>
        <w:rPr>
          <w:sz w:val="20"/>
        </w:rPr>
      </w:pPr>
      <w:r>
        <w:rPr>
          <w:rStyle w:val="CharStyle25"/>
          <w:color w:val="303030"/>
          <w:sz w:val="20"/>
        </w:rPr>
        <w:t xml:space="preserve">Les zones </w:t>
      </w:r>
      <w:r>
        <w:rPr>
          <w:rStyle w:val="CharStyle25"/>
          <w:color w:val="464648"/>
          <w:sz w:val="20"/>
        </w:rPr>
        <w:t xml:space="preserve">à forte </w:t>
      </w:r>
      <w:r>
        <w:rPr>
          <w:rStyle w:val="CharStyle25"/>
          <w:color w:val="464648"/>
          <w:sz w:val="20"/>
        </w:rPr>
        <w:t>influence</w:t>
      </w:r>
      <w:r>
        <w:rPr>
          <w:rStyle w:val="CharStyle25"/>
          <w:color w:val="656361"/>
          <w:sz w:val="20"/>
        </w:rPr>
        <w:t xml:space="preserve">syndicale </w:t>
      </w:r>
      <w:r>
        <w:rPr>
          <w:rStyle w:val="CharStyle25"/>
          <w:color w:val="464648"/>
          <w:sz w:val="20"/>
        </w:rPr>
        <w:t xml:space="preserve">sont restées fermées </w:t>
      </w:r>
      <w:r>
        <w:rPr>
          <w:rStyle w:val="CharStyle25"/>
          <w:color w:val="656361"/>
          <w:sz w:val="20"/>
        </w:rPr>
        <w:t xml:space="preserve">beaucoup plus longtemps </w:t>
      </w:r>
      <w:r>
        <w:rPr>
          <w:rStyle w:val="CharStyle25"/>
          <w:color w:val="60BEE0"/>
          <w:sz w:val="20"/>
        </w:rPr>
        <w:t>returntolearntracker.net/instructional_-</w:t>
      </w:r>
    </w:p>
    <w:p>
      <w:pPr>
        <w:pStyle w:val="Style24"/>
        <w:keepNext w:val="0"/>
        <w:keepLines w:val="0"/>
        <w:widowControl w:val="0"/>
        <w:shd w:val="clear" w:color="auto" w:fill="auto"/>
        <w:spacing w:before="0" w:after="0" w:line="161" w:lineRule="auto"/>
        <w:ind w:left="2640" w:right="0" w:firstLine="0"/>
        <w:jc w:val="left"/>
        <w:rPr>
          <w:sz w:val="20"/>
        </w:rPr>
      </w:pPr>
      <w:r>
        <w:rPr>
          <w:rStyle w:val="CharStyle25"/>
          <w:color w:val="464648"/>
          <w:sz w:val="20"/>
        </w:rPr>
        <w:t xml:space="preserve">Ils se sont poursuivis </w:t>
      </w:r>
      <w:r>
        <w:rPr>
          <w:rStyle w:val="CharStyle25"/>
          <w:color w:val="303030"/>
          <w:sz w:val="20"/>
        </w:rPr>
        <w:t xml:space="preserve">en </w:t>
      </w:r>
      <w:r>
        <w:rPr>
          <w:rStyle w:val="CharStyle25"/>
          <w:color w:val="464648"/>
          <w:sz w:val="20"/>
        </w:rPr>
        <w:t>2022.</w:t>
      </w:r>
    </w:p>
    <w:p>
      <w:pPr>
        <w:pStyle w:val="Style24"/>
        <w:keepNext w:val="0"/>
        <w:keepLines w:val="0"/>
        <w:widowControl w:val="0"/>
        <w:shd w:val="clear" w:color="auto" w:fill="auto"/>
        <w:spacing w:before="0" w:after="220" w:line="161" w:lineRule="auto"/>
        <w:ind w:left="2640" w:right="0" w:firstLine="0"/>
        <w:jc w:val="left"/>
        <w:rPr>
          <w:sz w:val="20"/>
        </w:rPr>
      </w:pPr>
      <w:r>
        <w:rPr>
          <w:rStyle w:val="CharStyle25"/>
          <w:color w:val="60BEE0"/>
          <w:sz w:val="20"/>
        </w:rPr>
        <w:t>nytimes.com/2022/01/08/us/...</w:t>
      </w:r>
    </w:p>
    <w:p>
      <w:pPr>
        <w:pStyle w:val="Style24"/>
        <w:keepNext w:val="0"/>
        <w:keepLines w:val="0"/>
        <w:widowControl w:val="0"/>
        <w:shd w:val="clear" w:color="auto" w:fill="auto"/>
        <w:tabs>
          <w:tab w:pos="6262" w:val="left"/>
        </w:tabs>
        <w:spacing w:before="0" w:after="220" w:line="161" w:lineRule="auto"/>
        <w:ind w:left="2640" w:right="0" w:firstLine="0"/>
        <w:jc w:val="left"/>
        <w:rPr>
          <w:sz w:val="20"/>
        </w:rPr>
      </w:pPr>
      <w:r>
        <w:rPr>
          <w:rStyle w:val="CharStyle25"/>
          <w:color w:val="303030"/>
          <w:sz w:val="20"/>
        </w:rPr>
        <w:t xml:space="preserve">Vous </w:t>
      </w:r>
      <w:r>
        <w:rPr>
          <w:rStyle w:val="CharStyle25"/>
          <w:color w:val="464648"/>
          <w:sz w:val="20"/>
        </w:rPr>
        <w:t xml:space="preserve">trouvez </w:t>
      </w:r>
      <w:r>
        <w:rPr>
          <w:rStyle w:val="CharStyle25"/>
          <w:color w:val="656361"/>
          <w:sz w:val="20"/>
        </w:rPr>
        <w:t xml:space="preserve"> </w:t>
      </w:r>
      <w:r>
        <w:rPr>
          <w:rStyle w:val="CharStyle25"/>
          <w:color w:val="464648"/>
          <w:sz w:val="20"/>
        </w:rPr>
        <w:t xml:space="preserve">ça </w:t>
      </w:r>
      <w:r>
        <w:rPr>
          <w:rStyle w:val="CharStyle25"/>
          <w:color w:val="656361"/>
          <w:sz w:val="20"/>
        </w:rPr>
        <w:t>utile?</w:t>
        <w:tab/>
      </w:r>
      <w:r>
        <w:rPr>
          <w:rStyle w:val="CharStyle25"/>
          <w:color w:val="303030"/>
          <w:sz w:val="20"/>
        </w:rPr>
        <w:t xml:space="preserve">Évaluez-le </w:t>
      </w:r>
    </w:p>
    <w:p>
      <w:pPr>
        <w:pStyle w:val="Style32"/>
        <w:keepNext w:val="0"/>
        <w:keepLines w:val="0"/>
        <w:widowControl w:val="0"/>
        <w:shd w:val="clear" w:color="auto" w:fill="auto"/>
        <w:spacing w:before="0" w:after="220" w:line="240" w:lineRule="auto"/>
        <w:ind w:left="2540" w:right="0" w:firstLine="0"/>
        <w:jc w:val="left"/>
      </w:pPr>
      <w:r>
        <w:rPr>
          <w:rStyle w:val="CharStyle33"/>
        </w:rPr>
        <w:t xml:space="preserve">Le contexte est écrit par des personnes qui utilisent X et apparaît lorsqu'il est jugé utile par d'autres. </w:t>
      </w:r>
      <w:r>
        <w:rPr>
          <w:rStyle w:val="CharStyle33"/>
          <w:color w:val="60BEE0"/>
        </w:rPr>
        <w:t xml:space="preserve">En savoir plus.</w:t>
      </w:r>
    </w:p>
    <w:p>
      <w:pPr>
        <w:pStyle w:val="Style24"/>
        <w:keepNext w:val="0"/>
        <w:keepLines w:val="0"/>
        <w:widowControl w:val="0"/>
        <w:shd w:val="clear" w:color="auto" w:fill="auto"/>
        <w:spacing w:before="0" w:after="440" w:line="161" w:lineRule="auto"/>
        <w:ind w:left="2540" w:right="0" w:firstLine="0"/>
        <w:jc w:val="left"/>
        <w:rPr>
          <w:sz w:val="20"/>
        </w:rPr>
      </w:pPr>
      <w:r>
        <w:rPr>
          <w:rStyle w:val="CharStyle25"/>
          <w:color w:val="A0A1A1"/>
          <w:sz w:val="20"/>
        </w:rPr>
        <w:t xml:space="preserve">16h24 ■ 4 mai 2023 - </w:t>
      </w:r>
      <w:r>
        <w:rPr>
          <w:rStyle w:val="CharStyle25"/>
          <w:rFonts w:ascii="Arial" w:hAnsi="Arial" w:cs="Arial" w:eastAsia="Arial"/>
          <w:color w:val="303030"/>
          <w:sz w:val="10"/>
        </w:rPr>
        <w:t xml:space="preserve">1.7M </w:t>
      </w:r>
      <w:r>
        <w:rPr>
          <w:rStyle w:val="CharStyle25"/>
          <w:color w:val="A0A1A1"/>
          <w:sz w:val="20"/>
        </w:rPr>
        <w:t>Vues</w:t>
      </w:r>
    </w:p>
    <w:p>
      <w:pPr>
        <w:pStyle w:val="Style24"/>
        <w:keepNext w:val="0"/>
        <w:keepLines w:val="0"/>
        <w:widowControl w:val="0"/>
        <w:shd w:val="clear" w:color="auto" w:fill="auto"/>
        <w:spacing w:before="0" w:after="220" w:line="264" w:lineRule="auto"/>
        <w:ind w:left="0" w:right="0" w:firstLine="740"/>
        <w:jc w:val="left"/>
      </w:pPr>
      <w:r>
        <w:rPr>
          <w:rStyle w:val="CharStyle25"/>
        </w:rPr>
        <w:t xml:space="preserve">Au cours de l'été 2020, l'AFT et Mme Weingarten ont attaqué l'administration Trump pour avoir poussé à renvoyer les élèves dans les salles de classe pour le début de l'année scolaire 2020-2021.</w:t>
        <w:footnoteReference w:id="222"/>
        <w:t xml:space="preserve"> Pour Mme Weingarten, encourager la réouverture des écoles était «imprudent», «callou» et «cruel».</w:t>
        <w:footnoteReference w:id="223"/>
      </w:r>
    </w:p>
    <w:p>
      <w:pPr>
        <w:pStyle w:val="Style24"/>
        <w:keepNext w:val="0"/>
        <w:keepLines w:val="0"/>
        <w:widowControl w:val="0"/>
        <w:shd w:val="clear" w:color="auto" w:fill="auto"/>
        <w:spacing w:before="0" w:after="140" w:line="264" w:lineRule="auto"/>
        <w:ind w:left="0" w:right="0" w:firstLine="740"/>
        <w:jc w:val="left"/>
      </w:pPr>
      <w:r>
        <w:rPr>
          <w:rStyle w:val="CharStyle25"/>
        </w:rPr>
        <w:t xml:space="preserve">L’AFT a publié une annonce sur la réouverture des écoles affirmant que les élèves étaient «utilisés comme cobayes».</w:t>
        <w:footnoteReference w:id="224"/>
        <w:t xml:space="preserve"> Dans un communiqué de presse officiel, Mme Weingarten a écrit:</w:t>
      </w:r>
    </w:p>
    <w:p>
      <w:pPr>
        <w:pStyle w:val="Style24"/>
        <w:keepNext w:val="0"/>
        <w:keepLines w:val="0"/>
        <w:widowControl w:val="0"/>
        <w:shd w:val="clear" w:color="auto" w:fill="auto"/>
        <w:spacing w:before="0" w:after="280"/>
        <w:ind w:left="740" w:right="0" w:firstLine="0"/>
        <w:jc w:val="left"/>
      </w:pPr>
      <w:r>
        <w:rPr>
          <w:rStyle w:val="CharStyle25"/>
        </w:rPr>
        <w:t xml:space="preserve">Les écoles ne peuvent pas rouvrir de manière sûre et équitable tant que nous n'aurons pas maîtrisé efficacement la propagation du virus et que nous n'aurons pas mis en place un système de dépistage robuste, un plan pour une future poussée et des protocoles de sécurité appropriés, y compris la distanciation physique, une ventilation adéquate, des procédures de nettoyage en profondeur et un équipement de protection individuelle adéquat.</w:t>
        <w:footnoteReference w:id="225"/>
      </w:r>
    </w:p>
    <w:p>
      <w:pPr>
        <w:pStyle w:val="Style24"/>
        <w:keepNext w:val="0"/>
        <w:keepLines w:val="0"/>
        <w:widowControl w:val="0"/>
        <w:shd w:val="clear" w:color="auto" w:fill="auto"/>
        <w:spacing w:before="0" w:after="280"/>
        <w:ind w:left="0" w:right="0" w:firstLine="740"/>
        <w:jc w:val="left"/>
      </w:pPr>
      <w:r>
        <w:rPr>
          <w:rStyle w:val="CharStyle25"/>
        </w:rPr>
        <w:t xml:space="preserve">L’AFT a dénoncé et combattu à plusieurs reprises les projets des différents États de rouvrir des écoles. L'AFT a même soutenu les efforts des syndicats d'enseignants affiliés pour poursuivre les gouvernements étatiques et locaux qui tentent de rouvrir les écoles pour un enseignement en personne.</w:t>
        <w:footnoteReference w:id="226"/>
        <w:t xml:space="preserve"> Dans un communiqué de presse officiel, Mme Weingarten a écrit:</w:t>
      </w:r>
    </w:p>
    <w:p>
      <w:pPr>
        <w:pStyle w:val="Style24"/>
        <w:keepNext w:val="0"/>
        <w:keepLines w:val="0"/>
        <w:widowControl w:val="0"/>
        <w:shd w:val="clear" w:color="auto" w:fill="auto"/>
        <w:spacing w:before="0" w:after="280" w:line="259" w:lineRule="auto"/>
        <w:ind w:left="820" w:right="0" w:firstLine="0"/>
        <w:jc w:val="left"/>
      </w:pPr>
      <w:r>
        <w:rPr>
          <w:rStyle w:val="CharStyle25"/>
        </w:rPr>
        <w:t xml:space="preserve">La poussée pour rouvrir les écoles à temps plein sans aucune précaution ou de nouvelles ressources, et, plus important encore, au milieu d'une flambée de COVID-19, ignore la science, la sécurité et l'humanité fondamentale.</w:t>
        <w:footnoteReference w:id="227"/>
      </w:r>
    </w:p>
    <w:p>
      <w:pPr>
        <w:pStyle w:val="Style24"/>
        <w:keepNext w:val="0"/>
        <w:keepLines w:val="0"/>
        <w:widowControl w:val="0"/>
        <w:shd w:val="clear" w:color="auto" w:fill="auto"/>
        <w:spacing w:before="0" w:after="280"/>
        <w:ind w:left="0" w:right="0" w:firstLine="740"/>
        <w:jc w:val="left"/>
      </w:pPr>
      <w:r>
        <w:rPr>
          <w:rStyle w:val="CharStyle25"/>
        </w:rPr>
        <w:t xml:space="preserve">L’AFT a encouragé ses affiliés – appelant ses membres et ses affiliés à mener des «grèves de sécurité» dans certains cas.</w:t>
        <w:footnoteReference w:id="228"/>
        <w:t xml:space="preserve"> Dans une entrevue transcrite, Mme Ucelli-Kashyap a témoigné que l'AFT appuyait les organisations affiliées qui faisaient grève si des mesures d'atténuation n'étaient pas jugées appropriées. </w:t>
        <w:footnoteReference w:id="229"/>
      </w:r>
    </w:p>
    <w:p>
      <w:pPr>
        <w:pStyle w:val="Style24"/>
        <w:keepNext w:val="0"/>
        <w:keepLines w:val="0"/>
        <w:widowControl w:val="0"/>
        <w:shd w:val="clear" w:color="auto" w:fill="auto"/>
        <w:spacing w:before="0" w:after="280"/>
        <w:ind w:left="0" w:right="0" w:firstLine="740"/>
        <w:jc w:val="left"/>
      </w:pPr>
      <w:r>
        <w:rPr>
          <w:rStyle w:val="CharStyle25"/>
          <w:u w:val="single"/>
        </w:rPr>
        <w:t xml:space="preserve">Mme Marla Ucelli-Kashyap (20 juin 2023)</w:t>
      </w:r>
    </w:p>
    <w:p>
      <w:pPr>
        <w:pStyle w:val="Style24"/>
        <w:keepNext w:val="0"/>
        <w:keepLines w:val="0"/>
        <w:widowControl w:val="0"/>
        <w:shd w:val="clear" w:color="auto" w:fill="auto"/>
        <w:spacing w:before="0" w:after="280" w:line="259" w:lineRule="auto"/>
        <w:ind w:left="1460" w:right="0" w:hanging="720"/>
        <w:jc w:val="left"/>
      </w:pPr>
      <w:r>
        <w:rPr>
          <w:rStyle w:val="CharStyle25"/>
        </w:rPr>
        <w:t xml:space="preserve">Q. L'AFT a-t-elle déjà préconisé qu'un district scolaire se mette en grève si une école poussait à la réouverture avant les vaccinations?</w:t>
      </w:r>
    </w:p>
    <w:p>
      <w:pPr>
        <w:pStyle w:val="Style24"/>
        <w:keepNext w:val="0"/>
        <w:keepLines w:val="0"/>
        <w:widowControl w:val="0"/>
        <w:shd w:val="clear" w:color="auto" w:fill="auto"/>
        <w:spacing w:before="0"/>
        <w:ind w:left="1460" w:right="0" w:hanging="720"/>
        <w:jc w:val="left"/>
      </w:pPr>
      <w:r>
        <w:rPr>
          <w:rStyle w:val="CharStyle25"/>
        </w:rPr>
        <w:t xml:space="preserve">R. Donc, encore une fois, vous me faites penser à un langage de résolution, mais nous avons indiqué que lorsque toutes les autres possibilités n'étaient pas utilisées -- donc lorsque les stratégies d'atténuation appropriées n'étaient pas en place, lorsque les directives n'étaient pas suivies lorsqu'il y avait des raisons de soupçonner un préjudice, que lorsqu'il y avait une question de sécurité des élèves et des enseignants, cela pourrait -- il pourrait y avoir des situations dans lesquelles une grève de sécurité serait appropriée. Nous ne les avons pas encouragés ou demandés, mais nous avons indiqué qu'il pourrait y avoir des situations dans lesquelles ils seraient appropriés.</w:t>
      </w:r>
    </w:p>
    <w:p>
      <w:pPr>
        <w:pStyle w:val="Style24"/>
        <w:keepNext w:val="0"/>
        <w:keepLines w:val="0"/>
        <w:widowControl w:val="0"/>
        <w:shd w:val="clear" w:color="auto" w:fill="auto"/>
        <w:spacing w:before="0" w:after="320" w:line="259" w:lineRule="auto"/>
        <w:ind w:left="0" w:right="0" w:firstLine="740"/>
        <w:jc w:val="left"/>
        <w:rPr>
          <w:sz w:val="16"/>
        </w:rPr>
      </w:pPr>
      <w:r>
        <w:rPr>
          <w:rStyle w:val="CharStyle25"/>
        </w:rPr>
        <w:t xml:space="preserve">En réponse, beaucoup de ses affiliés locaux ont résisté aux plans de réouverture des écoles.</w:t>
        <w:footnoteReference w:id="230"/>
        <w:t xml:space="preserve"> Par exemple, le syndicat des enseignants de Chicago a tweeté que «la pression en faveur de la réouverture des écoles est enracinée dans le sexisme, le racisme et la misogynie» et a continué à organiser des grèves de sécurité liées à la COVID-19 — qui ont nécessité la fermeture des écoles — aussi tard dans la pandémie qu’en janvier 2022.</w:t>
        <w:footnoteReference w:id="231"/>
        <w:t xml:space="preserve"> </w:t>
        <w:footnoteReference w:id="232"/>
        <w:t xml:space="preserve">Un autre affilié, les United Teachers of Los Angeles, a également fait état de préoccupations en matière de sécurité tout au long de la pandémie quant au maintien de la fermeture des écoles, mais a formulé des demandes politiques - non liées à la COVID-19 - y compris, mais sans s'y limiter, l'adoption d'une taxe millionnaire, le définancement de la police et la fourniture d'un régime d'assurance-maladie </w:t>
      </w:r>
      <w:r>
        <w:rPr>
          <w:rStyle w:val="CharStyle25"/>
          <w:sz w:val="16"/>
          <w:vertAlign w:val="subscript"/>
        </w:rPr>
        <w:t xml:space="preserve">pour tous.</w:t>
      </w:r>
    </w:p>
    <w:p>
      <w:pPr>
        <w:pStyle w:val="Style24"/>
        <w:keepNext w:val="0"/>
        <w:keepLines w:val="0"/>
        <w:widowControl w:val="0"/>
        <w:shd w:val="clear" w:color="auto" w:fill="auto"/>
        <w:spacing w:before="0"/>
        <w:ind w:left="0" w:right="0" w:firstLine="740"/>
        <w:jc w:val="left"/>
      </w:pPr>
      <w:r>
        <w:rPr>
          <w:rStyle w:val="CharStyle25"/>
        </w:rPr>
        <w:t xml:space="preserve">Enfin, à New York, les United Teachers de l’État de New York ont résisté à la réouverture des écoles, à moins que le maire de Blasio n’accepte de fermer les écoles si le taux de positivité à la COVID-19 dépasse 3 % – un seuil extrêmement prudent.</w:t>
        <w:footnoteReference w:id="233"/>
        <w:t xml:space="preserve"> Mme Weingarten a soutenu la décision de fermer les écoles de la ville de New York lorsque, comme on pouvait s’y attendre, le taux de positivité dépassait 3 %, ignorant apparemment les conseils du CDC et les preuves que la transmission était faible dans les écoles.</w:t>
        <w:footnoteReference w:id="234"/>
        <w:t xml:space="preserve"> L'AFT continuera de soutenir les efforts déployés au sein de l'État pour fermer les écoles.</w:t>
        <w:footnoteReference w:id="235"/>
      </w:r>
    </w:p>
    <w:p>
      <w:pPr>
        <w:pStyle w:val="Style24"/>
        <w:keepNext w:val="0"/>
        <w:keepLines w:val="0"/>
        <w:widowControl w:val="0"/>
        <w:shd w:val="clear" w:color="auto" w:fill="auto"/>
        <w:spacing w:before="0"/>
        <w:ind w:left="0" w:right="0" w:firstLine="740"/>
        <w:jc w:val="left"/>
      </w:pPr>
      <w:r>
        <w:rPr>
          <w:rStyle w:val="CharStyle25"/>
        </w:rPr>
        <w:t xml:space="preserve">À l’instar de leurs affiliés, l’AFT s’appuyait davantage sur la « politique » que sur la « science ». Dans son témoignage devant le sous-comité restreint, Mme Weingarten a déclaré que l’AFT s’efforçait toujours de rouvrir l’école et avait publié un « plan scientifique de bon sens pour ouvrir les écoles en toute sécurité ».</w:t>
        <w:footnoteReference w:id="236"/>
      </w:r>
    </w:p>
    <w:p>
      <w:pPr>
        <w:pStyle w:val="Style24"/>
        <w:keepNext w:val="0"/>
        <w:keepLines w:val="0"/>
        <w:widowControl w:val="0"/>
        <w:shd w:val="clear" w:color="auto" w:fill="auto"/>
        <w:spacing w:before="0"/>
        <w:ind w:left="0" w:right="0" w:firstLine="740"/>
        <w:jc w:val="left"/>
      </w:pPr>
      <w:r>
        <w:rPr>
          <w:rStyle w:val="CharStyle25"/>
        </w:rPr>
        <w:t xml:space="preserve">The plan Ms. Weingarten was referring to was released April 29, 2020 and entitled “A Plan to Safely Reopen America’s Schools and Communities” [hereinafter “AFT Plan”] </w:t>
        <w:footnoteReference w:id="237"/>
        <w:t xml:space="preserve"> The AFT Plan could hardly be considered “science based.” Among other things, the AFT Plan called on Congress to make significant public investments into areas not related to the pandemic, such as improving broadband infrastructure, increasing Medicaid and SNAP benefits, and cancelling student loans.</w:t>
      </w:r>
      <w:r>
        <w:rPr>
          <w:rStyle w:val="CharStyle25"/>
          <w:vertAlign w:val="superscript"/>
        </w:rPr>
        <w:t>1684</w:t>
      </w:r>
      <w:r>
        <w:rPr>
          <w:rStyle w:val="CharStyle25"/>
        </w:rPr>
        <w:t xml:space="preserve"> Specifically, the AFT Plan wrote “COVID-19 has exacerbated the deep inequalities in our society and underscored the need for additional public investments to combat this inequity.”</w:t>
      </w:r>
      <w:r>
        <w:rPr>
          <w:rStyle w:val="CharStyle25"/>
          <w:vertAlign w:val="superscript"/>
        </w:rPr>
        <w:t>1685</w:t>
      </w:r>
      <w:r>
        <w:rPr>
          <w:rStyle w:val="CharStyle25"/>
        </w:rPr>
        <w:t xml:space="preserve"> The AFT Plan directed that “[i]t is not the time to be concerned with deficits.”</w:t>
      </w:r>
      <w:r>
        <w:rPr>
          <w:rStyle w:val="CharStyle25"/>
          <w:vertAlign w:val="superscript"/>
        </w:rPr>
        <w:t>1686</w:t>
      </w:r>
    </w:p>
    <w:p>
      <w:pPr>
        <w:pStyle w:val="Style24"/>
        <w:keepNext w:val="0"/>
        <w:keepLines w:val="0"/>
        <w:widowControl w:val="0"/>
        <w:shd w:val="clear" w:color="auto" w:fill="auto"/>
        <w:spacing w:before="0" w:after="300" w:line="264" w:lineRule="auto"/>
        <w:ind w:left="0" w:right="0" w:firstLine="740"/>
        <w:jc w:val="left"/>
      </w:pPr>
      <w:r>
        <w:rPr>
          <w:rStyle w:val="CharStyle25"/>
        </w:rPr>
        <w:t>1687</w:t>
      </w:r>
      <w:r>
        <w:rPr>
          <w:rStyle w:val="CharStyle25"/>
        </w:rPr>
        <w:t xml:space="preserve"> À l’instar de celles qui l’ont précédée, ces mesures – qui visaient vraisemblablement à lutter contre le contrôle parental et la responsabilité des éducateurs américains – n’étaient pas liées à la science ni à la lutte contre la propagation de la COVID-19 dans les écoles.</w:t>
      </w:r>
    </w:p>
    <w:p>
      <w:pPr>
        <w:pStyle w:val="Style24"/>
        <w:keepNext w:val="0"/>
        <w:keepLines w:val="0"/>
        <w:widowControl w:val="0"/>
        <w:shd w:val="clear" w:color="auto" w:fill="auto"/>
        <w:spacing w:before="0" w:after="300"/>
        <w:ind w:left="1460" w:right="0" w:hanging="1460"/>
        <w:jc w:val="left"/>
      </w:pPr>
      <w:r>
        <w:rPr>
          <w:rStyle w:val="CharStyle25"/>
        </w:rPr>
        <w:t xml:space="preserve">CONSTATATION : Les centres américains de contrôle et de prévention des maladies de l’administration Biden ont brisé le précédent et ont partagé un projet de lignes directrices avec l’American Federation of Teachers.</w:t>
      </w:r>
    </w:p>
    <w:p>
      <w:pPr>
        <w:pStyle w:val="Style24"/>
        <w:keepNext w:val="0"/>
        <w:keepLines w:val="0"/>
        <w:widowControl w:val="0"/>
        <w:shd w:val="clear" w:color="auto" w:fill="auto"/>
        <w:spacing w:before="0"/>
        <w:ind w:left="0" w:right="0" w:firstLine="740"/>
        <w:jc w:val="left"/>
      </w:pPr>
      <w:r>
        <w:rPr>
          <w:rStyle w:val="CharStyle25"/>
        </w:rPr>
        <w:t xml:space="preserve">Selon les témoignages, la CDC a commencé à rédiger la stratégie opérationnelle fin décembre 2020.</w:t>
      </w:r>
      <w:r>
        <w:rPr>
          <w:rStyle w:val="CharStyle25"/>
          <w:vertAlign w:val="superscript"/>
        </w:rPr>
        <w:t>1688</w:t>
      </w:r>
      <w:r>
        <w:rPr>
          <w:rStyle w:val="CharStyle25"/>
        </w:rPr>
        <w:t xml:space="preserve"> Dans une interview transcrite, le Dr Massetti a témoigné qu’elle était la «rédactrice principale» des orientations.</w:t>
      </w:r>
      <w:r>
        <w:rPr>
          <w:rStyle w:val="CharStyle25"/>
          <w:vertAlign w:val="superscript"/>
        </w:rPr>
        <w:t>1689</w:t>
      </w:r>
      <w:r>
        <w:rPr>
          <w:rStyle w:val="CharStyle25"/>
        </w:rPr>
        <w:t xml:space="preserve"> Le Dr Massetti a témoigné que l’objectif principal de la rédaction des nouvelles orientations était de ramener les élèves dans la salle de classe.</w:t>
      </w:r>
    </w:p>
    <w:tbl>
      <w:tblPr>
        <w:tblOverlap w:val="never"/>
        <w:jc w:val="center"/>
        <w:tblLayout w:type="fixed"/>
      </w:tblPr>
      <w:tblGrid>
        <w:gridCol w:w="576"/>
        <w:gridCol w:w="6869"/>
      </w:tblGrid>
      <w:tr>
        <w:trPr>
          <w:trHeight w:val="293"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Dre Greta Massetti (30 octobre 2023)</w:t>
            </w:r>
          </w:p>
        </w:tc>
      </w:tr>
      <w:tr>
        <w:trPr>
          <w:trHeight w:val="730"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60"/>
              <w:jc w:val="left"/>
            </w:pPr>
            <w:r>
              <w:rPr>
                <w:rStyle w:val="CharStyle19"/>
              </w:rPr>
              <w:t xml:space="preserve">Quel était l'objectif de [la stratégie opérationnelle]?</w:t>
            </w:r>
          </w:p>
        </w:tc>
      </w:tr>
      <w:tr>
        <w:trPr>
          <w:trHeight w:val="3715"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A.</w:t>
            </w:r>
          </w:p>
        </w:tc>
        <w:tc>
          <w:tcPr>
            <w:tcBorders>
              <w:right w:val="single" w:sz="4"/>
            </w:tcBorders>
            <w:shd w:val="clear" w:color="auto" w:fill="D9E9F8"/>
            <w:vAlign w:val="bottom"/>
          </w:tcPr>
          <w:p>
            <w:pPr>
              <w:pStyle w:val="Style18"/>
              <w:keepNext w:val="0"/>
              <w:keepLines w:val="0"/>
              <w:widowControl w:val="0"/>
              <w:shd w:val="clear" w:color="auto" w:fill="auto"/>
              <w:spacing w:before="0" w:after="0"/>
              <w:ind w:left="260" w:right="0" w:firstLine="0"/>
              <w:jc w:val="left"/>
            </w:pPr>
            <w:r>
              <w:rPr>
                <w:rStyle w:val="CharStyle19"/>
              </w:rPr>
              <w:t xml:space="preserve">Nous avions donc publié plusieurs versions de l'orientation scolaire, à partir de février 2020. Nous l’avions fait: nous avions mis au point des ressources pour les écoles afin de fournir des informations de soutien sur la manière de dispenser un enseignement en personne en toute sécurité. Nous avons fait beaucoup d’assistance technique, beaucoup de sensibilisation, de webinaires, de présentations, d’outils, tout au long de l’été et de l’automne 2020. Et en décembre, nous étions très conscients que le nouveau semestre scolaire était sur le point de commencer. Et nous ne disposions pas d’excellentes données à l’époque, mais à notre meilleure estimation, plus de la moitié des districts scolaires aux États-Unis ne fournissaient aucune instruction en personne. Nous étions très inquiets à ce sujet. Nous étions inquiets de l'impact sur les enfants. Nous nous inquiétions d'un certain nombre de préoccupations. Nous réfléchissions donc à ce que nous devions faire pour vraiment soutenir les écoles</w:t>
            </w:r>
          </w:p>
        </w:tc>
      </w:tr>
    </w:tbl>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1684</w:t>
      </w:r>
      <w:r>
        <w:rPr>
          <w:rStyle w:val="CharStyle66"/>
          <w:sz w:val="20"/>
          <w:u w:val="none"/>
        </w:rPr>
        <w:t xml:space="preserve"> A Plan to Safely Reopen America’s Schools and Communities, American Federation of Teachers (29 avril 2020), disponible à l’adresse </w:t>
      </w:r>
      <w:r>
        <w:fldChar w:fldCharType="begin"/>
      </w:r>
      <w:r>
        <w:rPr/>
        <w:instrText> HYPERLINK "https://www.aft.org/sites/default/files/media/2020/covid19_reopen-america-schools.pdf" </w:instrText>
      </w:r>
      <w:r>
        <w:fldChar w:fldCharType="separate"/>
      </w:r>
      <w:r>
        <w:rPr>
          <w:rStyle w:val="CharStyle66"/>
          <w:color w:val="467886"/>
          <w:sz w:val="20"/>
        </w:rPr>
        <w:t xml:space="preserve">suivante: https://www.aft.org/sites/default/files/media/2020/covid19_reopen-america-schools.pdf</w:t>
      </w:r>
      <w:r>
        <w:fldChar w:fldCharType="end"/>
      </w:r>
      <w:r>
        <w:rPr>
          <w:rStyle w:val="CharStyle66"/>
          <w:sz w:val="20"/>
          <w:u w:val="none"/>
        </w:rPr>
        <w:t xml:space="preserve">.; Voir également la lettre de Randi Weingarten, président de l’American Federation of Teachers, et al., à la Chambre des représentants des États-Unis (21 avril 2020).</w:t>
      </w:r>
    </w:p>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1685</w:t>
      </w:r>
      <w:r>
        <w:rPr>
          <w:rStyle w:val="CharStyle66"/>
          <w:sz w:val="20"/>
          <w:u w:val="none"/>
        </w:rPr>
        <w:t xml:space="preserve"> A Plan to Safely Reopen America’s Schools and Communities, American Federation of Teachers (29 avril 2020), disponible à l’adresse </w:t>
      </w:r>
      <w:r>
        <w:fldChar w:fldCharType="begin"/>
      </w:r>
      <w:r>
        <w:rPr/>
        <w:instrText> HYPERLINK "https://www.aft.org/sites/default/files/media/2020/covid19_reopen-america-schools.pdf" </w:instrText>
      </w:r>
      <w:r>
        <w:fldChar w:fldCharType="separate"/>
      </w:r>
      <w:r>
        <w:rPr>
          <w:rStyle w:val="CharStyle66"/>
          <w:color w:val="467886"/>
          <w:sz w:val="20"/>
        </w:rPr>
        <w:t xml:space="preserve">suivante: https://www.aft.org/sites/default/files/media/2020/covid19_reopen-america-schools.pdf</w:t>
      </w:r>
      <w:r>
        <w:fldChar w:fldCharType="end"/>
      </w:r>
      <w:r>
        <w:rPr>
          <w:rStyle w:val="CharStyle66"/>
          <w:sz w:val="20"/>
          <w:u w:val="none"/>
        </w:rPr>
        <w:t>.</w:t>
      </w:r>
    </w:p>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1686</w:t>
      </w:r>
      <w:r>
        <w:rPr>
          <w:rStyle w:val="CharStyle66"/>
          <w:sz w:val="20"/>
          <w:u w:val="none"/>
        </w:rPr>
        <w:t xml:space="preserve"> Id.</w:t>
      </w:r>
    </w:p>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1687</w:t>
      </w:r>
      <w:r>
        <w:rPr>
          <w:rStyle w:val="CharStyle66"/>
          <w:sz w:val="20"/>
          <w:u w:val="none"/>
        </w:rPr>
        <w:t xml:space="preserve"> Id.</w:t>
      </w:r>
    </w:p>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1688</w:t>
      </w:r>
      <w:r>
        <w:rPr>
          <w:rStyle w:val="CharStyle66"/>
          <w:sz w:val="20"/>
          <w:u w:val="none"/>
        </w:rPr>
        <w:t xml:space="preserve"> Massettii TI, à 26 ans.</w:t>
      </w:r>
    </w:p>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1689</w:t>
      </w:r>
      <w:r>
        <w:rPr>
          <w:rStyle w:val="CharStyle66"/>
          <w:sz w:val="20"/>
          <w:u w:val="none"/>
        </w:rPr>
        <w:t xml:space="preserve"> Id. à 24.</w:t>
      </w:r>
    </w:p>
    <w:p>
      <w:pPr>
        <w:pStyle w:val="Style24"/>
        <w:keepNext w:val="0"/>
        <w:keepLines w:val="0"/>
        <w:widowControl w:val="0"/>
        <w:shd w:val="clear" w:color="auto" w:fill="auto"/>
        <w:spacing w:before="0" w:line="264" w:lineRule="auto"/>
        <w:ind w:left="1460" w:right="0" w:firstLine="0"/>
        <w:jc w:val="left"/>
      </w:pPr>
      <w:r>
        <w:rPr>
          <w:rStyle w:val="CharStyle25"/>
        </w:rPr>
        <w:t xml:space="preserve">la réouverture pour l’enseignement en présentiel en janvier, et nous étions très inquiets de la possibilité qu’un autre semestre passe et que les écoles ne soient pas en mesure de prendre cette mesure...</w:t>
        <w:footnoteReference w:id="238"/>
      </w:r>
    </w:p>
    <w:p>
      <w:pPr>
        <w:pStyle w:val="Style24"/>
        <w:keepNext w:val="0"/>
        <w:keepLines w:val="0"/>
        <w:widowControl w:val="0"/>
        <w:shd w:val="clear" w:color="auto" w:fill="auto"/>
        <w:spacing w:before="0" w:line="264" w:lineRule="auto"/>
        <w:ind w:left="0" w:right="0" w:firstLine="740"/>
        <w:jc w:val="left"/>
      </w:pPr>
      <w:r>
        <w:rPr>
          <w:rStyle w:val="CharStyle25"/>
        </w:rPr>
        <w:t xml:space="preserve">Au début de janvier 2021, la Dre Massetti a témoigné qu'elle avait terminé la première ébauche des lignes directrices.</w:t>
        <w:footnoteReference w:id="239"/>
      </w:r>
    </w:p>
    <w:p>
      <w:pPr>
        <w:pStyle w:val="Style24"/>
        <w:keepNext w:val="0"/>
        <w:keepLines w:val="0"/>
        <w:widowControl w:val="0"/>
        <w:shd w:val="clear" w:color="auto" w:fill="auto"/>
        <w:spacing w:before="0" w:line="264" w:lineRule="auto"/>
        <w:ind w:left="0" w:right="0" w:firstLine="740"/>
        <w:jc w:val="left"/>
      </w:pPr>
      <w:r>
        <w:rPr>
          <w:rStyle w:val="CharStyle25"/>
        </w:rPr>
        <w:t xml:space="preserve">Il semble probable que l’AFT savait que la CDC – sous l’administration Biden nouvellement inaugurée – publierait de nouvelles orientations relatives aux écoles. L’un des premiers actes du président Biden après son investiture a été l’émission d’un décret ordonnant au ministère de l’éducation et au HHS d’élaborer des orientations fondées sur des données probantes sur la réouverture des écoles. </w:t>
        <w:footnoteReference w:id="240"/>
        <w:t xml:space="preserve">Mme Weingarten a salué la loi en déclarant que «l’ordonnance produira des orientations qui intègrent et diffusent les meilleures pratiques — fondées sur la science — pour un apprentissage en personne, à distance et hybride sûr et efficace».</w:t>
        <w:footnoteReference w:id="241"/>
      </w:r>
    </w:p>
    <w:p>
      <w:pPr>
        <w:pStyle w:val="Style24"/>
        <w:keepNext w:val="0"/>
        <w:keepLines w:val="0"/>
        <w:widowControl w:val="0"/>
        <w:shd w:val="clear" w:color="auto" w:fill="auto"/>
        <w:spacing w:before="0" w:after="460" w:line="264" w:lineRule="auto"/>
        <w:ind w:left="0" w:right="0" w:firstLine="740"/>
        <w:jc w:val="left"/>
      </w:pPr>
      <w:r>
        <w:rPr>
          <w:rStyle w:val="CharStyle25"/>
        </w:rPr>
        <w:t xml:space="preserve">Le 27 janvier 2021, cependant, l'AFT savait que la CDC préparait de nouvelles orientations et était impatiente de les revoir. Ce matin-là, Mme Nedrow (Trautner) a commencé à s’enquérir de la réception d’une «copie préalable» de la stratégie opérationnelle.</w:t>
        <w:footnoteReference w:id="242"/>
      </w:r>
    </w:p>
    <w:p>
      <w:pPr>
        <w:pStyle w:val="Style27"/>
        <w:keepNext w:val="0"/>
        <w:keepLines w:val="0"/>
        <w:widowControl w:val="0"/>
        <w:shd w:val="clear" w:color="auto" w:fill="auto"/>
        <w:spacing w:before="0" w:after="0" w:line="240" w:lineRule="auto"/>
        <w:ind w:left="336" w:right="0" w:firstLine="0"/>
        <w:jc w:val="left"/>
        <w:rPr>
          <w:sz w:val="20"/>
        </w:rPr>
      </w:pPr>
      <w:r>
        <w:rPr>
          <w:rStyle w:val="CharStyle28"/>
          <w:rFonts w:ascii="Times New Roman" w:hAnsi="Times New Roman" w:cs="Times New Roman" w:eastAsia="Times New Roman"/>
          <w:color w:val="000000"/>
          <w:sz w:val="20"/>
        </w:rPr>
        <w:t>12:05</w:t>
      </w:r>
    </w:p>
    <w:p>
      <w:pPr>
        <w:widowControl w:val="0"/>
        <w:jc w:val="center"/>
        <w:rPr>
          <w:sz w:val="2"/>
        </w:rPr>
      </w:pPr>
      <w:r>
        <w:drawing>
          <wp:inline>
            <wp:extent cx="1597025" cy="372110"/>
            <wp:docPr id="62" name="Picutre 62"/>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2"/>
                    <a:stretch/>
                  </pic:blipFill>
                  <pic:spPr>
                    <a:xfrm>
                      <a:ext cx="1597025" cy="372110"/>
                    </a:xfrm>
                    <a:prstGeom prst="rect"/>
                  </pic:spPr>
                </pic:pic>
              </a:graphicData>
            </a:graphic>
          </wp:inline>
        </w:drawing>
      </w:r>
    </w:p>
    <w:p>
      <w:pPr>
        <w:pStyle w:val="Style27"/>
        <w:keepNext w:val="0"/>
        <w:keepLines w:val="0"/>
        <w:widowControl w:val="0"/>
        <w:shd w:val="clear" w:color="auto" w:fill="auto"/>
        <w:spacing w:before="0" w:after="0" w:line="240" w:lineRule="auto"/>
        <w:ind w:left="1930" w:right="0" w:firstLine="0"/>
        <w:jc w:val="left"/>
        <w:rPr>
          <w:sz w:val="22"/>
        </w:rPr>
      </w:pPr>
      <w:r>
        <w:rPr>
          <w:rStyle w:val="CharStyle28"/>
          <w:rFonts w:ascii="Times New Roman" w:hAnsi="Times New Roman" w:cs="Times New Roman" w:eastAsia="Times New Roman"/>
          <w:color w:val="303030"/>
          <w:sz w:val="22"/>
        </w:rPr>
        <w:t xml:space="preserve">Kei fy</w:t>
      </w:r>
    </w:p>
    <w:p>
      <w:pPr>
        <w:pStyle w:val="Style27"/>
        <w:keepNext w:val="0"/>
        <w:keepLines w:val="0"/>
        <w:widowControl w:val="0"/>
        <w:shd w:val="clear" w:color="auto" w:fill="auto"/>
        <w:spacing w:before="0" w:after="0" w:line="240" w:lineRule="auto"/>
        <w:ind w:left="149" w:right="0" w:firstLine="0"/>
        <w:jc w:val="left"/>
        <w:rPr>
          <w:sz w:val="17"/>
        </w:rPr>
      </w:pPr>
      <w:r>
        <w:rPr>
          <w:rStyle w:val="CharStyle28"/>
          <w:color w:val="A0A1A1"/>
          <w:sz w:val="17"/>
        </w:rPr>
        <w:t xml:space="preserve">27 janv. 2021 à 11h04</w:t>
      </w:r>
    </w:p>
    <w:p>
      <w:pPr>
        <w:widowControl w:val="0"/>
        <w:spacing w:after="259" w:line="1" w:lineRule="exact"/>
      </w:pPr>
    </w:p>
    <w:p>
      <w:pPr>
        <w:pStyle w:val="Style24"/>
        <w:keepNext w:val="0"/>
        <w:keepLines w:val="0"/>
        <w:widowControl w:val="0"/>
        <w:shd w:val="clear" w:color="auto" w:fill="auto"/>
        <w:spacing w:before="0" w:line="269" w:lineRule="auto"/>
        <w:ind w:left="2700" w:right="0" w:firstLine="0"/>
        <w:jc w:val="left"/>
      </w:pPr>
      <w:r>
        <w:rPr>
          <w:rStyle w:val="CharStyle25"/>
        </w:rPr>
        <w:t xml:space="preserve">Salut! Il semble que le CDC devrait publier de nouvelles directives de réouverture pour les écoles. À qui pouvons-nous parler d'une copie à l'avance? Nous avons demandé à nos contacts et NIOSH et ils sont complètement hors de lui, il semble</w:t>
      </w:r>
    </w:p>
    <w:p>
      <w:pPr>
        <w:pStyle w:val="Style24"/>
        <w:keepNext w:val="0"/>
        <w:keepLines w:val="0"/>
        <w:widowControl w:val="0"/>
        <w:shd w:val="clear" w:color="auto" w:fill="auto"/>
        <w:spacing w:before="0"/>
        <w:ind w:left="0" w:right="0" w:firstLine="740"/>
        <w:jc w:val="left"/>
      </w:pPr>
      <w:r>
        <w:rPr>
          <w:rStyle w:val="CharStyle25"/>
        </w:rPr>
        <w:t xml:space="preserve">En quelques heures, Mme Weingarten a été connectée dans un courriel avec des membres de l'administration Biden-Harris et de l'équipe de réponse à la COVID-19 de la Maison Blanche pour organiser une réunion afin de discuter des orientations dans les prochains jours.</w:t>
        <w:footnoteReference w:id="243"/>
      </w:r>
    </w:p>
    <w:p>
      <w:pPr>
        <w:pStyle w:val="Style24"/>
        <w:keepNext w:val="0"/>
        <w:keepLines w:val="0"/>
        <w:widowControl w:val="0"/>
        <w:shd w:val="clear" w:color="auto" w:fill="auto"/>
        <w:spacing w:before="0" w:line="264" w:lineRule="auto"/>
        <w:ind w:left="0" w:right="0" w:firstLine="740"/>
        <w:jc w:val="left"/>
      </w:pPr>
      <w:r>
        <w:rPr>
          <w:rStyle w:val="CharStyle25"/>
        </w:rPr>
        <w:t xml:space="preserve">Après coordination des horaires, un appel entre l'AFT et la CDC a été mis en place pour le 29 janvier 2021.</w:t>
        <w:footnoteReference w:id="244"/>
        <w:t xml:space="preserve"> Le Dr Walensky voulait également participer et a été ajouté à l'appel.</w:t>
        <w:footnoteReference w:id="245"/>
        <w:t xml:space="preserve"> Dans un courriel adressé à Mme Weingarten, Mme Johnson a écrit: «[n]ous gagnerions vraiment à avoir la possibilité de vous entendre directement, vous et vos membres, sur leurs points de vue».</w:t>
        <w:footnoteReference w:id="246"/>
      </w:r>
    </w:p>
    <w:p>
      <w:pPr>
        <w:pStyle w:val="Style24"/>
        <w:keepNext w:val="0"/>
        <w:keepLines w:val="0"/>
        <w:widowControl w:val="0"/>
        <w:shd w:val="clear" w:color="auto" w:fill="auto"/>
        <w:spacing w:before="0"/>
        <w:ind w:left="0" w:right="0" w:firstLine="740"/>
        <w:jc w:val="left"/>
      </w:pPr>
      <w:r>
        <w:rPr>
          <w:rStyle w:val="CharStyle25"/>
        </w:rPr>
        <w:t xml:space="preserve">Entre-temps, le personnel de l'AFT s'efforçait de se préparer à revoir les directives. Le 28 janvier 2021, Mme Ucelli-Kashyap – qui était également membre de l’équipe de transition de Biden</w:t>
        <w:footnoteReference w:id="247"/>
        <w:t xml:space="preserve">– a envoyé un courrier électronique à d’autres membres du personnel de l’AFT pour qu’ils soient prêts à servir d’«examinateurs rapides» des nouvelles orientations.</w:t>
        <w:footnoteReference w:id="248"/>
        <w:t xml:space="preserve"> Plus précisément, fournir un «résumé rapide de ce qu’il fait et de ce qu’il ne dit pas, et de la manière dont cela se présente avec nos must have, et cetera».</w:t>
        <w:footnoteReference w:id="249"/>
      </w:r>
    </w:p>
    <w:p>
      <w:pPr>
        <w:pStyle w:val="Style24"/>
        <w:keepNext w:val="0"/>
        <w:keepLines w:val="0"/>
        <w:widowControl w:val="0"/>
        <w:shd w:val="clear" w:color="auto" w:fill="auto"/>
        <w:spacing w:before="0" w:after="320"/>
        <w:ind w:left="0" w:right="0" w:firstLine="740"/>
        <w:jc w:val="left"/>
      </w:pPr>
      <w:r>
        <w:rPr>
          <w:rStyle w:val="CharStyle25"/>
        </w:rPr>
        <w:t xml:space="preserve">Le lendemain, 29 janvier 2021, Mme Ucelli-Kashyap a fait un suivi auprès de son équipe concernant ses instructions, qui, a-t-elle écrit, allaient probablement être publiées le lundi 1er février 2021 suivant, informant l'équipe qu'elle aurait, espérons-le, plus d'informations à la suite de l'appel entre l'AFT et Mme Weingarten plus tard dans l'après-midi: </w:t>
        <w:footnoteReference w:id="250"/>
      </w:r>
    </w:p>
    <w:p>
      <w:pPr>
        <w:pStyle w:val="Style57"/>
        <w:keepNext w:val="0"/>
        <w:keepLines w:val="0"/>
        <w:widowControl w:val="0"/>
        <w:pBdr>
          <w:bottom w:val="single" w:sz="4" w:space="0" w:color="auto"/>
        </w:pBdr>
        <w:shd w:val="clear" w:color="auto" w:fill="auto"/>
        <w:spacing w:before="0" w:after="180" w:line="312" w:lineRule="auto"/>
        <w:ind w:left="0" w:right="0" w:firstLine="520"/>
        <w:jc w:val="left"/>
      </w:pPr>
      <w:r>
        <w:rPr>
          <w:rStyle w:val="CharStyle58"/>
          <w:color w:val="464648"/>
        </w:rPr>
        <w:t>Message</w:t>
      </w:r>
    </w:p>
    <w:p>
      <w:pPr>
        <w:pStyle w:val="Style57"/>
        <w:keepNext w:val="0"/>
        <w:keepLines w:val="0"/>
        <w:widowControl w:val="0"/>
        <w:shd w:val="clear" w:color="auto" w:fill="auto"/>
        <w:tabs>
          <w:tab w:pos="1502" w:val="left"/>
        </w:tabs>
        <w:spacing w:before="0" w:after="0" w:line="312" w:lineRule="auto"/>
        <w:ind w:left="0" w:right="0" w:firstLine="520"/>
        <w:jc w:val="left"/>
      </w:pPr>
      <w:r>
        <w:rPr>
          <w:rStyle w:val="CharStyle58"/>
          <w:color w:val="303030"/>
        </w:rPr>
        <w:t xml:space="preserve">À partir de:</w:t>
        <w:tab/>
      </w:r>
      <w:r>
        <w:rPr>
          <w:rStyle w:val="CharStyle58"/>
          <w:color w:val="464648"/>
        </w:rPr>
        <w:t xml:space="preserve">Marla Ucelli-Kashyap, Questions éducatives</w:t>
      </w:r>
    </w:p>
    <w:p>
      <w:pPr>
        <w:pStyle w:val="Style57"/>
        <w:keepNext w:val="0"/>
        <w:keepLines w:val="0"/>
        <w:widowControl w:val="0"/>
        <w:shd w:val="clear" w:color="auto" w:fill="auto"/>
        <w:tabs>
          <w:tab w:pos="1502" w:val="left"/>
        </w:tabs>
        <w:spacing w:before="0" w:after="0" w:line="240" w:lineRule="auto"/>
        <w:ind w:left="0" w:right="0" w:firstLine="520"/>
        <w:jc w:val="left"/>
      </w:pPr>
      <w:r>
        <w:rPr>
          <w:rStyle w:val="CharStyle58"/>
          <w:color w:val="303030"/>
        </w:rPr>
        <w:t>Envoyé:</w:t>
        <w:tab/>
      </w:r>
      <w:r>
        <w:rPr>
          <w:rStyle w:val="CharStyle58"/>
          <w:color w:val="464648"/>
        </w:rPr>
        <w:t>1/29/20214:54:13</w:t>
      </w:r>
    </w:p>
    <w:p>
      <w:pPr>
        <w:pStyle w:val="Style57"/>
        <w:keepNext w:val="0"/>
        <w:keepLines w:val="0"/>
        <w:widowControl w:val="0"/>
        <w:shd w:val="clear" w:color="auto" w:fill="auto"/>
        <w:tabs>
          <w:tab w:pos="1502" w:val="left"/>
          <w:tab w:pos="7835" w:val="left"/>
        </w:tabs>
        <w:spacing w:before="0" w:after="0" w:line="240" w:lineRule="auto"/>
        <w:ind w:left="0" w:right="0" w:firstLine="520"/>
        <w:jc w:val="left"/>
      </w:pPr>
      <w:r>
        <w:rPr>
          <w:rStyle w:val="CharStyle58"/>
          <w:color w:val="464648"/>
        </w:rPr>
        <w:t xml:space="preserve">À l'attention de:</w:t>
        <w:tab/>
        <w:t xml:space="preserve">Robin Vitucci, </w:t>
      </w:r>
      <w:r>
        <w:rPr>
          <w:rStyle w:val="CharStyle58"/>
          <w:color w:val="000000"/>
        </w:rPr>
        <w:t xml:space="preserve">EducationallssuesH^^^^^^^^ </w:t>
      </w:r>
      <w:r>
        <w:rPr>
          <w:rStyle w:val="CharStyle58"/>
          <w:color w:val="464648"/>
        </w:rPr>
        <w:t xml:space="preserve">Chelsea Prax, Questions éducatives</w:t>
        <w:tab/>
        <w:t xml:space="preserve">Justin Stone,</w:t>
      </w:r>
    </w:p>
    <w:p>
      <w:pPr>
        <w:pStyle w:val="Style57"/>
        <w:keepNext w:val="0"/>
        <w:keepLines w:val="0"/>
        <w:widowControl w:val="0"/>
        <w:shd w:val="clear" w:color="auto" w:fill="auto"/>
        <w:spacing w:before="0" w:after="0" w:line="240" w:lineRule="auto"/>
        <w:ind w:left="1540" w:right="0" w:firstLine="0"/>
        <w:jc w:val="left"/>
      </w:pPr>
      <w:r>
        <w:rPr>
          <w:rStyle w:val="CharStyle58"/>
          <w:color w:val="464648"/>
        </w:rPr>
        <w:t xml:space="preserve">Questions relatives à l'éducation</w:t>
      </w:r>
    </w:p>
    <w:p>
      <w:pPr>
        <w:pStyle w:val="Style57"/>
        <w:keepNext w:val="0"/>
        <w:keepLines w:val="0"/>
        <w:widowControl w:val="0"/>
        <w:shd w:val="clear" w:color="auto" w:fill="auto"/>
        <w:tabs>
          <w:tab w:pos="1502" w:val="left"/>
          <w:tab w:pos="5334" w:val="left"/>
        </w:tabs>
        <w:spacing w:before="0" w:after="0" w:line="240" w:lineRule="auto"/>
        <w:ind w:left="0" w:right="0" w:firstLine="520"/>
        <w:jc w:val="left"/>
        <w:rPr>
          <w:sz w:val="13"/>
        </w:rPr>
      </w:pPr>
      <w:r>
        <w:rPr>
          <w:rStyle w:val="CharStyle58"/>
          <w:color w:val="000000"/>
          <w:sz w:val="13"/>
        </w:rPr>
        <w:t xml:space="preserve">(C </w:t>
      </w:r>
      <w:r>
        <w:rPr>
          <w:rStyle w:val="CharStyle58"/>
          <w:color w:val="303030"/>
          <w:sz w:val="13"/>
        </w:rPr>
        <w:t xml:space="preserve">( </w:t>
      </w:r>
      <w:r>
        <w:rPr>
          <w:rStyle w:val="CharStyle58"/>
          <w:color w:val="000000"/>
          <w:sz w:val="13"/>
        </w:rPr>
        <w:t xml:space="preserve">se </w:t>
      </w:r>
      <w:r>
        <w:rPr>
          <w:rStyle w:val="CharStyle58"/>
          <w:smallCaps/>
          <w:color w:val="303030"/>
          <w:sz w:val="11"/>
        </w:rPr>
        <w:t>p</w:t>
      </w:r>
      <w:r>
        <w:rPr>
          <w:rStyle w:val="CharStyle58"/>
          <w:color w:val="303030"/>
          <w:sz w:val="13"/>
        </w:rPr>
        <w:t xml:space="preserve">Lundy Ponce, </w:t>
      </w:r>
      <w:r>
        <w:rPr>
          <w:rStyle w:val="CharStyle58"/>
          <w:color w:val="464648"/>
          <w:sz w:val="13"/>
        </w:rPr>
        <w:t xml:space="preserve">Educat.nnal Enjeux </w:t>
      </w:r>
      <w:r>
        <w:rPr>
          <w:rStyle w:val="CharStyle58"/>
          <w:color w:val="303030"/>
          <w:sz w:val="13"/>
        </w:rPr>
        <w:t xml:space="preserve">Sh tal </w:t>
      </w:r>
      <w:r>
        <w:rPr>
          <w:rStyle w:val="CharStyle58"/>
          <w:color w:val="464648"/>
          <w:sz w:val="13"/>
        </w:rPr>
        <w:t xml:space="preserve">Shah, </w:t>
      </w:r>
      <w:r>
        <w:rPr>
          <w:rStyle w:val="CharStyle58"/>
          <w:color w:val="303030"/>
          <w:sz w:val="13"/>
        </w:rPr>
        <w:t xml:space="preserve">Questions éducatives</w:t>
      </w:r>
    </w:p>
    <w:p>
      <w:pPr>
        <w:pStyle w:val="Style57"/>
        <w:keepNext w:val="0"/>
        <w:keepLines w:val="0"/>
        <w:widowControl w:val="0"/>
        <w:shd w:val="clear" w:color="auto" w:fill="auto"/>
        <w:tabs>
          <w:tab w:pos="1502" w:val="left"/>
        </w:tabs>
        <w:spacing w:before="0" w:after="440" w:line="240" w:lineRule="auto"/>
        <w:ind w:left="0" w:right="0" w:firstLine="520"/>
        <w:jc w:val="left"/>
      </w:pPr>
      <w:r>
        <w:rPr>
          <w:rStyle w:val="CharStyle58"/>
          <w:color w:val="303030"/>
        </w:rPr>
        <w:t>Objet:</w:t>
        <w:tab/>
      </w:r>
      <w:r>
        <w:rPr>
          <w:rStyle w:val="CharStyle58"/>
          <w:color w:val="464648"/>
        </w:rPr>
        <w:t xml:space="preserve">MISE À JOUR RE à venir CDC guidancd</w:t>
      </w:r>
    </w:p>
    <w:p>
      <w:pPr>
        <w:pStyle w:val="Style57"/>
        <w:keepNext w:val="0"/>
        <w:keepLines w:val="0"/>
        <w:widowControl w:val="0"/>
        <w:shd w:val="clear" w:color="auto" w:fill="auto"/>
        <w:spacing w:before="0" w:after="0" w:line="312" w:lineRule="auto"/>
        <w:ind w:left="0" w:right="0" w:firstLine="520"/>
        <w:jc w:val="left"/>
      </w:pPr>
      <w:r>
        <w:rPr>
          <w:rStyle w:val="CharStyle58"/>
          <w:color w:val="656361"/>
        </w:rPr>
        <w:t xml:space="preserve">Salut à tous,</w:t>
      </w:r>
    </w:p>
    <w:p>
      <w:pPr>
        <w:pStyle w:val="Style57"/>
        <w:keepNext w:val="0"/>
        <w:keepLines w:val="0"/>
        <w:widowControl w:val="0"/>
        <w:shd w:val="clear" w:color="auto" w:fill="auto"/>
        <w:spacing w:before="0" w:after="480" w:line="312" w:lineRule="auto"/>
        <w:ind w:left="520" w:right="0" w:firstLine="20"/>
        <w:jc w:val="left"/>
      </w:pPr>
      <w:r>
        <w:rPr>
          <w:rStyle w:val="CharStyle58"/>
          <w:color w:val="656361"/>
        </w:rPr>
        <w:t xml:space="preserve">Il est nouveau semble probable que les directives seront publiées lundi, certainement dans le courant de la semaine prochaine. Kelly et moi rejoignons Randi dans un appel avec un membre du personnel de Biden et le chef du CDC cet après-midi. J'espère que j'aurai quelque chose à rapporter après ça, Maria.</w:t>
      </w:r>
    </w:p>
    <w:p>
      <w:pPr>
        <w:pStyle w:val="Style24"/>
        <w:keepNext w:val="0"/>
        <w:keepLines w:val="0"/>
        <w:widowControl w:val="0"/>
        <w:shd w:val="clear" w:color="auto" w:fill="auto"/>
        <w:spacing w:before="0" w:line="259" w:lineRule="auto"/>
        <w:ind w:left="1460" w:right="0" w:hanging="1460"/>
        <w:jc w:val="left"/>
      </w:pPr>
      <w:r>
        <w:rPr>
          <w:rStyle w:val="CharStyle25"/>
        </w:rPr>
        <w:t xml:space="preserve">CONSTATATION : L'American Federation of Teachers a plaidé pour des mesures d'atténuation qui étaient trop larges et non scientifiques, y compris les déclencheurs de fermeture, retardant la</w:t>
      </w:r>
    </w:p>
    <w:p>
      <w:pPr>
        <w:pStyle w:val="Style24"/>
        <w:keepNext w:val="0"/>
        <w:keepLines w:val="0"/>
        <w:widowControl w:val="0"/>
        <w:shd w:val="clear" w:color="auto" w:fill="auto"/>
        <w:spacing w:before="0" w:after="300" w:line="269" w:lineRule="auto"/>
        <w:ind w:left="1460" w:right="0" w:firstLine="0"/>
        <w:jc w:val="left"/>
      </w:pPr>
      <w:r>
        <w:rPr>
          <w:rStyle w:val="CharStyle25"/>
        </w:rPr>
        <w:t xml:space="preserve">Émission de la stratégie opérationnelle par les Centers for Disease Control and Prevention des États-Unis.</w:t>
      </w:r>
    </w:p>
    <w:p>
      <w:pPr>
        <w:pStyle w:val="Style24"/>
        <w:keepNext w:val="0"/>
        <w:keepLines w:val="0"/>
        <w:widowControl w:val="0"/>
        <w:shd w:val="clear" w:color="auto" w:fill="auto"/>
        <w:spacing w:before="0" w:after="380"/>
        <w:ind w:left="0" w:right="0" w:firstLine="740"/>
        <w:jc w:val="left"/>
      </w:pPr>
      <w:r>
        <w:rPr>
          <w:rStyle w:val="CharStyle25"/>
        </w:rPr>
        <w:t xml:space="preserve">Bien que l'AFT n'était pas certaine des détails de l'orientation, elle savait ce qu'elle voulait y voir inclus. Entre autres, l’AFT souhaitait que la CDC mette en place un « déclencheur » qui entraînerait automatiquement la fermeture des écoles si le taux de positivité COVID-19 dépassait un certain seuil.</w:t>
        <w:footnoteReference w:id="251"/>
        <w:t xml:space="preserve"> Ces priorités ont été incluses dans les notes de réunion préparées pour Mme Weingarten pour son appel téléphonique avec le Dr Walensky le 29 janvier 2021. </w:t>
        <w:footnoteReference w:id="252"/>
      </w:r>
    </w:p>
    <w:p>
      <w:pPr>
        <w:pStyle w:val="Style36"/>
        <w:keepNext w:val="0"/>
        <w:keepLines w:val="0"/>
        <w:widowControl w:val="0"/>
        <w:shd w:val="clear" w:color="auto" w:fill="auto"/>
        <w:spacing w:before="0" w:after="0" w:line="286" w:lineRule="auto"/>
        <w:ind w:left="0" w:right="0" w:firstLine="600"/>
        <w:jc w:val="left"/>
      </w:pPr>
      <w:r>
        <w:rPr>
          <w:rStyle w:val="CharStyle37"/>
          <w:color w:val="303030"/>
        </w:rPr>
        <w:t xml:space="preserve">NOTES : Dr Walensky et appel COVID - 29/01/2021</w:t>
      </w:r>
    </w:p>
    <w:p>
      <w:pPr>
        <w:pStyle w:val="Style36"/>
        <w:keepNext w:val="0"/>
        <w:keepLines w:val="0"/>
        <w:widowControl w:val="0"/>
        <w:shd w:val="clear" w:color="auto" w:fill="auto"/>
        <w:spacing w:before="0" w:after="220" w:line="286" w:lineRule="auto"/>
        <w:ind w:left="600" w:right="0" w:firstLine="0"/>
        <w:jc w:val="left"/>
      </w:pPr>
      <w:r>
        <w:rPr>
          <w:rStyle w:val="CharStyle37"/>
          <w:color w:val="464648"/>
        </w:rPr>
        <w:t xml:space="preserve">Il convient</w:t>
      </w:r>
      <w:r>
        <w:rPr>
          <w:rStyle w:val="CharStyle37"/>
          <w:color w:val="303030"/>
        </w:rPr>
        <w:t xml:space="preserve">de noter que </w:t>
      </w:r>
      <w:r>
        <w:rPr>
          <w:rStyle w:val="CharStyle37"/>
          <w:color w:val="464648"/>
        </w:rPr>
        <w:t xml:space="preserve">les </w:t>
      </w:r>
      <w:r>
        <w:rPr>
          <w:rStyle w:val="CharStyle37"/>
          <w:color w:val="464648"/>
        </w:rPr>
        <w:t xml:space="preserve">orientations doivent </w:t>
      </w:r>
      <w:r>
        <w:rPr>
          <w:rStyle w:val="CharStyle37"/>
          <w:color w:val="303030"/>
        </w:rPr>
        <w:t xml:space="preserve">être </w:t>
      </w:r>
      <w:r>
        <w:rPr>
          <w:rStyle w:val="CharStyle37"/>
          <w:color w:val="464648"/>
        </w:rPr>
        <w:t xml:space="preserve">claires et faciles </w:t>
      </w:r>
      <w:r>
        <w:rPr>
          <w:rStyle w:val="CharStyle37"/>
          <w:color w:val="303030"/>
        </w:rPr>
        <w:t xml:space="preserve">à comprendre. </w:t>
      </w:r>
      <w:r>
        <w:rPr>
          <w:rStyle w:val="CharStyle37"/>
          <w:color w:val="464648"/>
        </w:rPr>
        <w:t xml:space="preserve">Imaginez qu'il </w:t>
      </w:r>
      <w:r>
        <w:rPr>
          <w:rStyle w:val="CharStyle37"/>
          <w:color w:val="303030"/>
        </w:rPr>
        <w:t xml:space="preserve">soit lu par </w:t>
      </w:r>
      <w:r>
        <w:rPr>
          <w:rStyle w:val="CharStyle37"/>
          <w:color w:val="464648"/>
        </w:rPr>
        <w:t xml:space="preserve">un professeur d'études </w:t>
      </w:r>
      <w:r>
        <w:rPr>
          <w:rStyle w:val="CharStyle37"/>
          <w:color w:val="464648"/>
        </w:rPr>
        <w:t xml:space="preserve">sociales ou </w:t>
      </w:r>
      <w:r>
        <w:rPr>
          <w:rStyle w:val="CharStyle37"/>
          <w:color w:val="464648"/>
        </w:rPr>
        <w:t xml:space="preserve">un parent.C'est une réelle opportunité pour une réinitialisation puissante et un retour à la crédibilité que le CDC a </w:t>
      </w:r>
      <w:r>
        <w:rPr>
          <w:rStyle w:val="CharStyle37"/>
          <w:color w:val="303030"/>
        </w:rPr>
        <w:t xml:space="preserve">traditionnellement </w:t>
      </w:r>
      <w:r>
        <w:rPr>
          <w:rStyle w:val="CharStyle37"/>
          <w:color w:val="464648"/>
        </w:rPr>
        <w:t>détenue.</w:t>
      </w:r>
    </w:p>
    <w:p>
      <w:pPr>
        <w:pStyle w:val="Style36"/>
        <w:keepNext w:val="0"/>
        <w:keepLines w:val="0"/>
        <w:widowControl w:val="0"/>
        <w:numPr>
          <w:ilvl w:val="0"/>
          <w:numId w:val="7"/>
        </w:numPr>
        <w:shd w:val="clear" w:color="auto" w:fill="auto"/>
        <w:tabs>
          <w:tab w:pos="1207" w:val="left"/>
        </w:tabs>
        <w:spacing w:before="0" w:after="0" w:line="283" w:lineRule="auto"/>
        <w:ind w:left="1220" w:right="0" w:hanging="320"/>
        <w:jc w:val="left"/>
      </w:pPr>
      <w:r>
        <w:rPr>
          <w:rStyle w:val="CharStyle37"/>
          <w:color w:val="303030"/>
        </w:rPr>
        <w:t xml:space="preserve">Besoin d'essais robustes inclus; c’est une véritable pierre d’achoppement dans la plupart des endroits. </w:t>
      </w:r>
      <w:r>
        <w:rPr>
          <w:rStyle w:val="CharStyle37"/>
          <w:color w:val="464648"/>
        </w:rPr>
        <w:t xml:space="preserve">Des programmes de tests de surveillance robustes qui effectueront des échantillons aléatoires d'étudiants et de membres du personnel </w:t>
      </w:r>
      <w:r>
        <w:rPr>
          <w:rStyle w:val="CharStyle37"/>
          <w:color w:val="464648"/>
        </w:rPr>
        <w:t xml:space="preserve">ainsi que </w:t>
      </w:r>
      <w:r>
        <w:rPr>
          <w:rStyle w:val="CharStyle37"/>
          <w:color w:val="464648"/>
        </w:rPr>
        <w:t xml:space="preserve">la recherche des contacts. Il s'agit </w:t>
      </w:r>
      <w:r>
        <w:rPr>
          <w:rStyle w:val="CharStyle37"/>
          <w:color w:val="303030"/>
        </w:rPr>
        <w:t xml:space="preserve">de </w:t>
      </w:r>
      <w:r>
        <w:rPr>
          <w:rStyle w:val="CharStyle37"/>
          <w:color w:val="464648"/>
        </w:rPr>
        <w:t xml:space="preserve">ressources, mais aussi du </w:t>
      </w:r>
      <w:r>
        <w:rPr>
          <w:rStyle w:val="CharStyle37"/>
          <w:color w:val="303030"/>
        </w:rPr>
        <w:t xml:space="preserve"> </w:t>
      </w:r>
      <w:r>
        <w:rPr>
          <w:rStyle w:val="CharStyle37"/>
          <w:color w:val="464648"/>
        </w:rPr>
        <w:t xml:space="preserve">« comment » </w:t>
      </w:r>
      <w:r>
        <w:rPr>
          <w:rStyle w:val="CharStyle37"/>
          <w:color w:val="303030"/>
        </w:rPr>
        <w:t xml:space="preserve">pour les </w:t>
      </w:r>
      <w:r>
        <w:rPr>
          <w:rStyle w:val="CharStyle37"/>
          <w:color w:val="464648"/>
        </w:rPr>
        <w:t xml:space="preserve">districts de mettre </w:t>
      </w:r>
      <w:r>
        <w:rPr>
          <w:rStyle w:val="CharStyle37"/>
          <w:color w:val="303030"/>
        </w:rPr>
        <w:t xml:space="preserve">en place un </w:t>
      </w:r>
      <w:r>
        <w:rPr>
          <w:rStyle w:val="CharStyle37"/>
          <w:color w:val="464648"/>
        </w:rPr>
        <w:t xml:space="preserve">programme </w:t>
      </w:r>
      <w:r>
        <w:rPr>
          <w:rStyle w:val="CharStyle37"/>
          <w:color w:val="303030"/>
        </w:rPr>
        <w:t xml:space="preserve">et le personnel </w:t>
      </w:r>
      <w:r>
        <w:rPr>
          <w:rStyle w:val="CharStyle37"/>
          <w:color w:val="464648"/>
        </w:rPr>
        <w:t xml:space="preserve">et de le mener à bien.</w:t>
      </w:r>
    </w:p>
    <w:p>
      <w:pPr>
        <w:pStyle w:val="Style36"/>
        <w:keepNext w:val="0"/>
        <w:keepLines w:val="0"/>
        <w:widowControl w:val="0"/>
        <w:numPr>
          <w:ilvl w:val="0"/>
          <w:numId w:val="7"/>
        </w:numPr>
        <w:shd w:val="clear" w:color="auto" w:fill="auto"/>
        <w:tabs>
          <w:tab w:pos="1207" w:val="left"/>
        </w:tabs>
        <w:spacing w:before="0" w:after="0" w:line="283" w:lineRule="auto"/>
        <w:ind w:left="1220" w:right="0" w:hanging="320"/>
        <w:jc w:val="left"/>
      </w:pPr>
      <w:r>
        <w:rPr>
          <w:rStyle w:val="CharStyle37"/>
          <w:color w:val="303030"/>
        </w:rPr>
        <w:t xml:space="preserve">Mettre l'accent sur 6' comme mesure de distanciation physique. Une autre </w:t>
      </w:r>
      <w:r>
        <w:rPr>
          <w:rStyle w:val="CharStyle37"/>
          <w:color w:val="464648"/>
        </w:rPr>
        <w:t xml:space="preserve">question litigieuse sur </w:t>
      </w:r>
      <w:r>
        <w:rPr>
          <w:rStyle w:val="CharStyle37"/>
          <w:color w:val="303030"/>
        </w:rPr>
        <w:t xml:space="preserve">le </w:t>
      </w:r>
      <w:r>
        <w:rPr>
          <w:rStyle w:val="CharStyle37"/>
          <w:color w:val="464648"/>
        </w:rPr>
        <w:t xml:space="preserve">terrain, </w:t>
      </w:r>
      <w:r>
        <w:rPr>
          <w:rStyle w:val="CharStyle37"/>
          <w:color w:val="303030"/>
        </w:rPr>
        <w:t xml:space="preserve">et </w:t>
      </w:r>
      <w:r>
        <w:rPr>
          <w:rStyle w:val="CharStyle37"/>
          <w:color w:val="464648"/>
        </w:rPr>
        <w:t xml:space="preserve">une autre où nous avons besoin </w:t>
      </w:r>
      <w:r>
        <w:rPr>
          <w:rStyle w:val="CharStyle37"/>
          <w:color w:val="303030"/>
        </w:rPr>
        <w:t xml:space="preserve">de la CDC pour peser. </w:t>
      </w:r>
    </w:p>
    <w:p>
      <w:pPr>
        <w:pStyle w:val="Style36"/>
        <w:keepNext w:val="0"/>
        <w:keepLines w:val="0"/>
        <w:widowControl w:val="0"/>
        <w:numPr>
          <w:ilvl w:val="0"/>
          <w:numId w:val="7"/>
        </w:numPr>
        <w:shd w:val="clear" w:color="auto" w:fill="auto"/>
        <w:tabs>
          <w:tab w:pos="1207" w:val="left"/>
        </w:tabs>
        <w:spacing w:before="0" w:after="0" w:line="283" w:lineRule="auto"/>
        <w:ind w:left="1220" w:right="0" w:hanging="320"/>
        <w:jc w:val="left"/>
      </w:pPr>
      <w:r>
        <w:rPr>
          <w:rStyle w:val="CharStyle37"/>
          <w:color w:val="303030"/>
        </w:rPr>
        <w:t xml:space="preserve">Améliorer les recommandations de masquage. </w:t>
      </w:r>
      <w:r>
        <w:rPr>
          <w:rStyle w:val="CharStyle37"/>
          <w:color w:val="464648"/>
        </w:rPr>
        <w:t xml:space="preserve">masques/respirateurs N-95 ou similaires pour le </w:t>
      </w:r>
      <w:r>
        <w:rPr>
          <w:rStyle w:val="CharStyle37"/>
          <w:color w:val="303030"/>
        </w:rPr>
        <w:t xml:space="preserve"> </w:t>
      </w:r>
      <w:r>
        <w:rPr>
          <w:rStyle w:val="CharStyle37"/>
          <w:color w:val="464648"/>
        </w:rPr>
        <w:t xml:space="preserve">personnel scolaire pour une meilleure protection contre les nouvelles variantes, même s’ils n’ont pas encore modifié leurs conseils sur les masques.</w:t>
      </w:r>
    </w:p>
    <w:p>
      <w:pPr>
        <w:pStyle w:val="Style36"/>
        <w:keepNext w:val="0"/>
        <w:keepLines w:val="0"/>
        <w:widowControl w:val="0"/>
        <w:numPr>
          <w:ilvl w:val="0"/>
          <w:numId w:val="7"/>
        </w:numPr>
        <w:shd w:val="clear" w:color="auto" w:fill="auto"/>
        <w:tabs>
          <w:tab w:pos="1207" w:val="left"/>
        </w:tabs>
        <w:spacing w:before="0" w:after="0" w:line="283" w:lineRule="auto"/>
        <w:ind w:left="1220" w:right="0" w:hanging="320"/>
        <w:jc w:val="left"/>
      </w:pPr>
      <w:r>
        <w:rPr>
          <w:rStyle w:val="CharStyle37"/>
          <w:color w:val="303030"/>
        </w:rPr>
        <w:t xml:space="preserve">Les accommodements pour les éducateurs et le personnel scolaire qui sont à risque élevé ou qui ont un membre du ménage à risque élevé sont un must. </w:t>
      </w:r>
      <w:r>
        <w:rPr>
          <w:rStyle w:val="CharStyle37"/>
          <w:color w:val="464648"/>
        </w:rPr>
        <w:t xml:space="preserve">L'orientation devrait aborder les </w:t>
      </w:r>
      <w:r>
        <w:rPr>
          <w:rStyle w:val="CharStyle37"/>
          <w:color w:val="464648"/>
        </w:rPr>
        <w:t xml:space="preserve">préoccupations professionnelles </w:t>
      </w:r>
      <w:r>
        <w:rPr>
          <w:rStyle w:val="CharStyle37"/>
          <w:color w:val="303030"/>
        </w:rPr>
        <w:t xml:space="preserve">uniques </w:t>
      </w:r>
      <w:r>
        <w:rPr>
          <w:rStyle w:val="CharStyle37"/>
          <w:color w:val="303030"/>
        </w:rPr>
        <w:t xml:space="preserve">des </w:t>
      </w:r>
      <w:r>
        <w:rPr>
          <w:rStyle w:val="CharStyle37"/>
          <w:color w:val="464648"/>
        </w:rPr>
        <w:t xml:space="preserve">adultes en milieu scolaire </w:t>
      </w:r>
      <w:r>
        <w:rPr>
          <w:rStyle w:val="CharStyle37"/>
        </w:rPr>
        <w:t xml:space="preserve">- </w:t>
      </w:r>
      <w:r>
        <w:rPr>
          <w:rStyle w:val="CharStyle37"/>
          <w:color w:val="464648"/>
        </w:rPr>
        <w:t xml:space="preserve">leurs risques accrus de maladie grave s'ils sont infectés par rapport aux </w:t>
      </w:r>
      <w:r>
        <w:rPr>
          <w:rStyle w:val="CharStyle37"/>
          <w:color w:val="303030"/>
        </w:rPr>
        <w:t xml:space="preserve">élèves. </w:t>
      </w:r>
      <w:r>
        <w:rPr>
          <w:rStyle w:val="CharStyle37"/>
          <w:color w:val="464648"/>
        </w:rPr>
        <w:t xml:space="preserve">Bien qu'il y ait </w:t>
      </w:r>
      <w:r>
        <w:rPr>
          <w:rStyle w:val="CharStyle37"/>
          <w:color w:val="303030"/>
        </w:rPr>
        <w:t xml:space="preserve">chevauchement </w:t>
      </w:r>
      <w:r>
        <w:rPr>
          <w:rStyle w:val="CharStyle37"/>
          <w:color w:val="464648"/>
        </w:rPr>
        <w:t xml:space="preserve">des préoccupations en matière de sécurité tant pour</w:t>
      </w:r>
      <w:r>
        <w:rPr>
          <w:rStyle w:val="CharStyle37"/>
          <w:color w:val="303030"/>
        </w:rPr>
        <w:t>les</w:t>
      </w:r>
      <w:r>
        <w:rPr>
          <w:rStyle w:val="CharStyle37"/>
          <w:color w:val="464648"/>
        </w:rPr>
        <w:t xml:space="preserve">étudiants </w:t>
      </w:r>
      <w:r>
        <w:rPr>
          <w:rStyle w:val="CharStyle37"/>
          <w:color w:val="303030"/>
        </w:rPr>
        <w:t xml:space="preserve">que </w:t>
      </w:r>
      <w:r>
        <w:rPr>
          <w:rStyle w:val="CharStyle37"/>
          <w:color w:val="464648"/>
        </w:rPr>
        <w:t xml:space="preserve">pour </w:t>
      </w:r>
      <w:r>
        <w:rPr>
          <w:rStyle w:val="CharStyle37"/>
          <w:color w:val="303030"/>
        </w:rPr>
        <w:t xml:space="preserve">le </w:t>
      </w:r>
      <w:r>
        <w:rPr>
          <w:rStyle w:val="CharStyle37"/>
          <w:color w:val="464648"/>
        </w:rPr>
        <w:t xml:space="preserve">personnel; Les adultes ont des préoccupations uniques </w:t>
      </w:r>
      <w:r>
        <w:rPr>
          <w:rStyle w:val="CharStyle37"/>
          <w:color w:val="000000"/>
        </w:rPr>
        <w:t xml:space="preserve">- </w:t>
      </w:r>
      <w:r>
        <w:rPr>
          <w:rStyle w:val="CharStyle37"/>
          <w:color w:val="464648"/>
        </w:rPr>
        <w:t xml:space="preserve">ils ont besoin d'accommodements pour leurs conditions sous-jacentes personnelles </w:t>
      </w:r>
      <w:r>
        <w:rPr>
          <w:rStyle w:val="CharStyle37"/>
          <w:color w:val="303030"/>
        </w:rPr>
        <w:t xml:space="preserve">et </w:t>
      </w:r>
      <w:r>
        <w:rPr>
          <w:rStyle w:val="CharStyle37"/>
          <w:color w:val="464648"/>
        </w:rPr>
        <w:t xml:space="preserve">pour celles des membres de la famille avec qui ils résident ou pour lesquels ils ont un rôle important dans la prestation de soins.</w:t>
      </w:r>
    </w:p>
    <w:p>
      <w:pPr>
        <w:pStyle w:val="Style36"/>
        <w:keepNext w:val="0"/>
        <w:keepLines w:val="0"/>
        <w:widowControl w:val="0"/>
        <w:numPr>
          <w:ilvl w:val="0"/>
          <w:numId w:val="7"/>
        </w:numPr>
        <w:shd w:val="clear" w:color="auto" w:fill="auto"/>
        <w:tabs>
          <w:tab w:pos="1207" w:val="left"/>
        </w:tabs>
        <w:spacing w:before="0" w:after="0" w:line="283" w:lineRule="auto"/>
        <w:ind w:left="1220" w:right="0" w:hanging="320"/>
        <w:jc w:val="left"/>
      </w:pPr>
      <w:r>
        <w:rPr>
          <w:rStyle w:val="CharStyle37"/>
          <w:color w:val="303030"/>
        </w:rPr>
        <w:t xml:space="preserve">Fournir un seuil de taux de positivité recommandé. </w:t>
      </w:r>
      <w:r>
        <w:rPr>
          <w:rStyle w:val="CharStyle37"/>
          <w:color w:val="464648"/>
        </w:rPr>
        <w:t xml:space="preserve">C'est une question controversée </w:t>
      </w:r>
      <w:r>
        <w:rPr>
          <w:rStyle w:val="CharStyle37"/>
          <w:color w:val="303030"/>
        </w:rPr>
        <w:t xml:space="preserve"> </w:t>
      </w:r>
      <w:r>
        <w:rPr>
          <w:rStyle w:val="CharStyle37"/>
          <w:color w:val="464648"/>
        </w:rPr>
        <w:t xml:space="preserve">sur le terrain, et nous </w:t>
      </w:r>
      <w:r>
        <w:rPr>
          <w:rStyle w:val="CharStyle37"/>
          <w:color w:val="303030"/>
        </w:rPr>
        <w:t xml:space="preserve">avons </w:t>
      </w:r>
      <w:r>
        <w:rPr>
          <w:rStyle w:val="CharStyle37"/>
          <w:color w:val="464648"/>
        </w:rPr>
        <w:t xml:space="preserve">besoin de la CDC </w:t>
      </w:r>
      <w:r>
        <w:rPr>
          <w:rStyle w:val="CharStyle37"/>
          <w:color w:val="303030"/>
        </w:rPr>
        <w:t xml:space="preserve">pour </w:t>
      </w:r>
      <w:r>
        <w:rPr>
          <w:rStyle w:val="CharStyle37"/>
          <w:color w:val="464648"/>
        </w:rPr>
        <w:t xml:space="preserve">peser. </w:t>
      </w:r>
      <w:r>
        <w:rPr>
          <w:rStyle w:val="CharStyle37"/>
          <w:color w:val="303030"/>
        </w:rPr>
        <w:t xml:space="preserve">Nous avons besoin d'une métrique objective pour les déclencheurs de fermeture / réouverture. [J'ai </w:t>
      </w:r>
      <w:r>
        <w:rPr>
          <w:rStyle w:val="CharStyle37"/>
          <w:color w:val="464648"/>
        </w:rPr>
        <w:t xml:space="preserve">aimé l'ajout </w:t>
      </w:r>
      <w:r>
        <w:rPr>
          <w:rStyle w:val="CharStyle37"/>
          <w:color w:val="464648"/>
        </w:rPr>
        <w:t xml:space="preserve">par Kelly </w:t>
      </w:r>
      <w:r>
        <w:rPr>
          <w:rStyle w:val="CharStyle37"/>
          <w:color w:val="464648"/>
        </w:rPr>
        <w:t xml:space="preserve">d'une </w:t>
      </w:r>
      <w:r>
        <w:rPr>
          <w:rStyle w:val="CharStyle37"/>
          <w:color w:val="303030"/>
        </w:rPr>
        <w:t xml:space="preserve"> </w:t>
      </w:r>
      <w:r>
        <w:rPr>
          <w:rStyle w:val="CharStyle37"/>
          <w:color w:val="464648"/>
        </w:rPr>
        <w:t xml:space="preserve">métrique de ligne brillante.]</w:t>
      </w:r>
    </w:p>
    <w:p>
      <w:pPr>
        <w:pStyle w:val="Style36"/>
        <w:keepNext w:val="0"/>
        <w:keepLines w:val="0"/>
        <w:widowControl w:val="0"/>
        <w:numPr>
          <w:ilvl w:val="0"/>
          <w:numId w:val="7"/>
        </w:numPr>
        <w:shd w:val="clear" w:color="auto" w:fill="auto"/>
        <w:tabs>
          <w:tab w:pos="1207" w:val="left"/>
        </w:tabs>
        <w:spacing w:before="0" w:after="460" w:line="283" w:lineRule="auto"/>
        <w:ind w:left="1220" w:right="0" w:hanging="320"/>
        <w:jc w:val="left"/>
      </w:pPr>
      <w:r>
        <w:rPr>
          <w:rStyle w:val="CharStyle37"/>
          <w:color w:val="303030"/>
        </w:rPr>
        <w:t xml:space="preserve">Les CDC devraient recommander la participation des parties prenantes/des comités pour superviser la réouverture et surveiller tout au long de la pandémie afin de contrer la méfiance et la peur. </w:t>
      </w:r>
      <w:r>
        <w:rPr>
          <w:rStyle w:val="CharStyle37"/>
          <w:color w:val="464648"/>
        </w:rPr>
        <w:t xml:space="preserve">Ajout d'une recommandation de processus selon laquelle les principales parties prenantes </w:t>
      </w:r>
      <w:r>
        <w:rPr>
          <w:rStyle w:val="CharStyle37"/>
        </w:rPr>
        <w:t xml:space="preserve">- </w:t>
      </w:r>
      <w:r>
        <w:rPr>
          <w:rStyle w:val="CharStyle37"/>
          <w:color w:val="464648"/>
        </w:rPr>
        <w:t xml:space="preserve">éducateurs, syndicats, parents</w:t>
      </w:r>
      <w:r>
        <w:rPr>
          <w:rStyle w:val="CharStyle37"/>
          <w:color w:val="303030"/>
        </w:rPr>
        <w:t xml:space="preserve">et </w:t>
      </w:r>
      <w:r>
        <w:rPr>
          <w:rStyle w:val="CharStyle37"/>
          <w:color w:val="464648"/>
        </w:rPr>
        <w:t xml:space="preserve">services de santé publique, </w:t>
      </w:r>
      <w:r>
        <w:rPr>
          <w:rStyle w:val="CharStyle37"/>
          <w:color w:val="464648"/>
        </w:rPr>
        <w:t xml:space="preserve">etc. </w:t>
      </w:r>
      <w:r>
        <w:rPr>
          <w:rStyle w:val="CharStyle37"/>
        </w:rPr>
        <w:t xml:space="preserve">- </w:t>
      </w:r>
      <w:r>
        <w:rPr>
          <w:rStyle w:val="CharStyle37"/>
          <w:color w:val="464648"/>
        </w:rPr>
        <w:t xml:space="preserve">forment des comités à l'échelle du district pour planifier / mettre en œuvre</w:t>
      </w:r>
      <w:r>
        <w:rPr>
          <w:rStyle w:val="CharStyle37"/>
          <w:color w:val="464648"/>
        </w:rPr>
        <w:t xml:space="preserve">la réouverture </w:t>
      </w:r>
      <w:r>
        <w:rPr>
          <w:rStyle w:val="CharStyle37"/>
          <w:color w:val="303030"/>
        </w:rPr>
        <w:t xml:space="preserve"> </w:t>
      </w:r>
      <w:r>
        <w:rPr>
          <w:rStyle w:val="CharStyle37"/>
          <w:color w:val="464648"/>
        </w:rPr>
        <w:t xml:space="preserve">des écoles et surveiller les écoles sur </w:t>
      </w:r>
      <w:r>
        <w:rPr>
          <w:rStyle w:val="CharStyle37"/>
          <w:color w:val="303030"/>
        </w:rPr>
        <w:t xml:space="preserve">une </w:t>
      </w:r>
      <w:r>
        <w:rPr>
          <w:rStyle w:val="CharStyle37"/>
          <w:color w:val="464648"/>
        </w:rPr>
        <w:t xml:space="preserve">base régulière et aider à déterminer quand les écoles devraient </w:t>
      </w:r>
      <w:r>
        <w:rPr>
          <w:rStyle w:val="CharStyle37"/>
          <w:color w:val="303030"/>
        </w:rPr>
        <w:t xml:space="preserve">rouvrir </w:t>
      </w:r>
      <w:r>
        <w:rPr>
          <w:rStyle w:val="CharStyle37"/>
          <w:color w:val="464648"/>
        </w:rPr>
        <w:t xml:space="preserve">et </w:t>
      </w:r>
      <w:r>
        <w:rPr>
          <w:rStyle w:val="CharStyle37"/>
          <w:color w:val="303030"/>
        </w:rPr>
        <w:t xml:space="preserve">fermer </w:t>
      </w:r>
      <w:r>
        <w:rPr>
          <w:rStyle w:val="CharStyle37"/>
          <w:color w:val="464648"/>
        </w:rPr>
        <w:t xml:space="preserve">et rouvrir à nouveau. </w:t>
      </w:r>
      <w:r>
        <w:rPr>
          <w:rStyle w:val="CharStyle37"/>
          <w:color w:val="303030"/>
        </w:rPr>
        <w:t>Les</w:t>
      </w:r>
      <w:r>
        <w:rPr>
          <w:rStyle w:val="CharStyle37"/>
          <w:color w:val="464648"/>
        </w:rPr>
        <w:t xml:space="preserve">districts scolaires </w:t>
      </w:r>
      <w:r>
        <w:rPr>
          <w:rStyle w:val="CharStyle37"/>
          <w:color w:val="303030"/>
        </w:rPr>
        <w:t xml:space="preserve">doivent lutter contre la méfiance et </w:t>
      </w:r>
      <w:r>
        <w:rPr>
          <w:rStyle w:val="CharStyle37"/>
          <w:color w:val="303030"/>
        </w:rPr>
        <w:t xml:space="preserve">la peur </w:t>
      </w:r>
      <w:r>
        <w:rPr>
          <w:rStyle w:val="CharStyle37"/>
          <w:color w:val="464648"/>
        </w:rPr>
        <w:t xml:space="preserve">par la participation et la transparence. Ce ne sont pas </w:t>
      </w:r>
      <w:r>
        <w:rPr>
          <w:rStyle w:val="CharStyle37"/>
          <w:color w:val="303030"/>
        </w:rPr>
        <w:t xml:space="preserve">seulement </w:t>
      </w:r>
      <w:r>
        <w:rPr>
          <w:rStyle w:val="CharStyle37"/>
          <w:color w:val="464648"/>
        </w:rPr>
        <w:t xml:space="preserve">les éducateurs et le personnel scolaire </w:t>
      </w:r>
      <w:r>
        <w:rPr>
          <w:rStyle w:val="CharStyle37"/>
          <w:color w:val="303030"/>
        </w:rPr>
        <w:t xml:space="preserve">qui </w:t>
      </w:r>
      <w:r>
        <w:rPr>
          <w:rStyle w:val="CharStyle37"/>
          <w:color w:val="303030"/>
        </w:rPr>
        <w:t xml:space="preserve">hésitent </w:t>
      </w:r>
      <w:r>
        <w:rPr>
          <w:rStyle w:val="CharStyle37"/>
          <w:color w:val="464648"/>
        </w:rPr>
        <w:t xml:space="preserve"> </w:t>
      </w:r>
      <w:r>
        <w:rPr>
          <w:rStyle w:val="CharStyle37"/>
          <w:color w:val="464648"/>
        </w:rPr>
        <w:t xml:space="preserve">à revenir, </w:t>
      </w:r>
      <w:r>
        <w:rPr>
          <w:rStyle w:val="CharStyle37"/>
          <w:color w:val="303030"/>
        </w:rPr>
        <w:t xml:space="preserve">mais </w:t>
      </w:r>
      <w:r>
        <w:rPr>
          <w:rStyle w:val="CharStyle37"/>
          <w:color w:val="464648"/>
        </w:rPr>
        <w:t xml:space="preserve">aussi </w:t>
      </w:r>
      <w:r>
        <w:rPr>
          <w:rStyle w:val="CharStyle37"/>
          <w:color w:val="303030"/>
        </w:rPr>
        <w:t xml:space="preserve">un </w:t>
      </w:r>
      <w:r>
        <w:rPr>
          <w:rStyle w:val="CharStyle37"/>
          <w:color w:val="464648"/>
        </w:rPr>
        <w:t xml:space="preserve">grand </w:t>
      </w:r>
      <w:r>
        <w:rPr>
          <w:rStyle w:val="CharStyle37"/>
          <w:color w:val="303030"/>
        </w:rPr>
        <w:t xml:space="preserve">pourcentage </w:t>
      </w:r>
      <w:r>
        <w:rPr>
          <w:rStyle w:val="CharStyle37"/>
          <w:color w:val="464648"/>
        </w:rPr>
        <w:t xml:space="preserve">d'étudiants </w:t>
      </w:r>
      <w:r>
        <w:rPr>
          <w:rStyle w:val="CharStyle37"/>
          <w:color w:val="303030"/>
        </w:rPr>
        <w:t xml:space="preserve"> </w:t>
      </w:r>
      <w:r>
        <w:rPr>
          <w:rStyle w:val="CharStyle37"/>
          <w:color w:val="464648"/>
        </w:rPr>
        <w:t xml:space="preserve">de </w:t>
      </w:r>
      <w:r>
        <w:rPr>
          <w:rStyle w:val="CharStyle37"/>
          <w:color w:val="303030"/>
        </w:rPr>
        <w:t xml:space="preserve">couleur </w:t>
      </w:r>
      <w:r>
        <w:rPr>
          <w:rStyle w:val="CharStyle37"/>
          <w:color w:val="464648"/>
        </w:rPr>
        <w:t>(ils</w:t>
      </w:r>
      <w:r>
        <w:rPr>
          <w:rStyle w:val="CharStyle37"/>
          <w:color w:val="303030"/>
        </w:rPr>
        <w:t xml:space="preserve">ne sont pas retournés </w:t>
      </w:r>
      <w:r>
        <w:rPr>
          <w:rStyle w:val="CharStyle37"/>
          <w:color w:val="464648"/>
        </w:rPr>
        <w:t xml:space="preserve"> </w:t>
      </w:r>
      <w:r>
        <w:rPr>
          <w:rStyle w:val="CharStyle37"/>
          <w:color w:val="464648"/>
        </w:rPr>
        <w:t>dans</w:t>
      </w:r>
      <w:r>
        <w:rPr>
          <w:rStyle w:val="CharStyle37"/>
          <w:color w:val="303030"/>
        </w:rPr>
        <w:t xml:space="preserve">les écoles </w:t>
      </w:r>
      <w:r>
        <w:rPr>
          <w:rStyle w:val="CharStyle37"/>
          <w:color w:val="464648"/>
        </w:rPr>
        <w:t xml:space="preserve">de New York </w:t>
      </w:r>
      <w:r>
        <w:rPr>
          <w:rStyle w:val="CharStyle37"/>
          <w:color w:val="464648"/>
        </w:rPr>
        <w:t xml:space="preserve">à </w:t>
      </w:r>
      <w:r>
        <w:rPr>
          <w:rStyle w:val="CharStyle37"/>
          <w:color w:val="303030"/>
        </w:rPr>
        <w:t>un</w:t>
      </w:r>
      <w:r>
        <w:rPr>
          <w:rStyle w:val="CharStyle37"/>
          <w:color w:val="464648"/>
        </w:rPr>
        <w:t xml:space="preserve">taux </w:t>
      </w:r>
      <w:r>
        <w:rPr>
          <w:rStyle w:val="CharStyle37"/>
          <w:color w:val="303030"/>
        </w:rPr>
        <w:t xml:space="preserve">élevé </w:t>
      </w:r>
      <w:r>
        <w:rPr>
          <w:rStyle w:val="CharStyle37"/>
          <w:color w:val="303030"/>
        </w:rPr>
        <w:t xml:space="preserve">par rapport </w:t>
      </w:r>
      <w:r>
        <w:rPr>
          <w:rStyle w:val="CharStyle37"/>
          <w:color w:val="464648"/>
        </w:rPr>
        <w:t xml:space="preserve">aux étudiants blancs) </w:t>
      </w:r>
      <w:r>
        <w:rPr>
          <w:rStyle w:val="CharStyle37"/>
        </w:rPr>
        <w:t xml:space="preserve">- </w:t>
      </w:r>
      <w:r>
        <w:rPr>
          <w:rStyle w:val="CharStyle37"/>
          <w:color w:val="464648"/>
        </w:rPr>
        <w:t xml:space="preserve">leurs parents ont peur de leur exposition. Seule une participation réelle et active de </w:t>
      </w:r>
      <w:r>
        <w:rPr>
          <w:rStyle w:val="CharStyle37"/>
          <w:color w:val="303030"/>
        </w:rPr>
        <w:t>ces</w:t>
      </w:r>
      <w:r>
        <w:rPr>
          <w:rStyle w:val="CharStyle37"/>
          <w:color w:val="464648"/>
        </w:rPr>
        <w:t xml:space="preserve">parties prenantes clés </w:t>
      </w:r>
      <w:r>
        <w:rPr>
          <w:rStyle w:val="CharStyle37"/>
          <w:color w:val="303030"/>
        </w:rPr>
        <w:t xml:space="preserve">pour surveiller activement la situation et </w:t>
      </w:r>
      <w:r>
        <w:rPr>
          <w:rStyle w:val="CharStyle37"/>
          <w:color w:val="303030"/>
        </w:rPr>
        <w:t xml:space="preserve">aider à </w:t>
      </w:r>
      <w:r>
        <w:rPr>
          <w:rStyle w:val="CharStyle37"/>
          <w:color w:val="464648"/>
        </w:rPr>
        <w:t xml:space="preserve">assurer que des </w:t>
      </w:r>
      <w:r>
        <w:rPr>
          <w:rStyle w:val="CharStyle37"/>
          <w:color w:val="464648"/>
        </w:rPr>
        <w:t>stratégies</w:t>
      </w:r>
      <w:r>
        <w:rPr>
          <w:rStyle w:val="CharStyle37"/>
          <w:color w:val="303030"/>
        </w:rPr>
        <w:t xml:space="preserve">d'atténuation </w:t>
      </w:r>
      <w:r>
        <w:rPr>
          <w:rStyle w:val="CharStyle37"/>
          <w:color w:val="464648"/>
        </w:rPr>
        <w:t xml:space="preserve">sont en </w:t>
      </w:r>
      <w:r>
        <w:rPr>
          <w:rStyle w:val="CharStyle37"/>
          <w:color w:val="303030"/>
        </w:rPr>
        <w:t xml:space="preserve">place </w:t>
      </w:r>
      <w:r>
        <w:rPr>
          <w:rStyle w:val="CharStyle37"/>
          <w:color w:val="464648"/>
        </w:rPr>
        <w:t xml:space="preserve">et à prendre des décisions pour fermer </w:t>
      </w:r>
      <w:r>
        <w:rPr>
          <w:rStyle w:val="CharStyle37"/>
          <w:color w:val="303030"/>
        </w:rPr>
        <w:t xml:space="preserve">les écoles et </w:t>
      </w:r>
      <w:r>
        <w:rPr>
          <w:rStyle w:val="CharStyle37"/>
          <w:color w:val="464648"/>
        </w:rPr>
        <w:t xml:space="preserve">rouvrir sera </w:t>
      </w:r>
      <w:r>
        <w:rPr>
          <w:rStyle w:val="CharStyle37"/>
          <w:color w:val="303030"/>
        </w:rPr>
        <w:t xml:space="preserve">un </w:t>
      </w:r>
      <w:r>
        <w:rPr>
          <w:rStyle w:val="CharStyle37"/>
          <w:color w:val="464648"/>
        </w:rPr>
        <w:t xml:space="preserve">antidote </w:t>
      </w:r>
      <w:r>
        <w:rPr>
          <w:rStyle w:val="CharStyle37"/>
          <w:color w:val="303030"/>
        </w:rPr>
        <w:t xml:space="preserve">à ce </w:t>
      </w:r>
      <w:r>
        <w:rPr>
          <w:rStyle w:val="CharStyle37"/>
          <w:color w:val="464648"/>
        </w:rPr>
        <w:t>refoulement.</w:t>
      </w:r>
    </w:p>
    <w:p>
      <w:pPr>
        <w:pStyle w:val="Style24"/>
        <w:keepNext w:val="0"/>
        <w:keepLines w:val="0"/>
        <w:widowControl w:val="0"/>
        <w:shd w:val="clear" w:color="auto" w:fill="auto"/>
        <w:spacing w:before="0"/>
        <w:ind w:left="0" w:right="0" w:firstLine="740"/>
        <w:jc w:val="left"/>
      </w:pPr>
      <w:r>
        <w:rPr>
          <w:rStyle w:val="CharStyle25"/>
        </w:rPr>
        <w:t xml:space="preserve">Selon le Dr Massetti, l'AFT a fait des demandes supplémentaires lors de l'appel téléphonique du 29 janvier, y compris une recommandation selon laquelle les écoles ne devraient pas être rouvertes à moins que les enseignants ne soient complètement vaccinés.</w:t>
      </w:r>
      <w:r>
        <w:br w:type="page"/>
      </w:r>
    </w:p>
    <w:tbl>
      <w:tblPr>
        <w:tblOverlap w:val="never"/>
        <w:jc w:val="center"/>
        <w:tblLayout w:type="fixed"/>
      </w:tblPr>
      <w:tblGrid>
        <w:gridCol w:w="576"/>
        <w:gridCol w:w="6869"/>
      </w:tblGrid>
      <w:tr>
        <w:trPr>
          <w:trHeight w:val="293"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Dre Greta Massetti (31 octobre 2023)</w:t>
            </w:r>
          </w:p>
        </w:tc>
      </w:tr>
      <w:tr>
        <w:trPr>
          <w:trHeight w:val="984"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59" w:lineRule="auto"/>
              <w:ind w:left="260" w:right="0" w:firstLine="0"/>
              <w:jc w:val="both"/>
            </w:pPr>
            <w:r>
              <w:rPr>
                <w:rStyle w:val="CharStyle19"/>
              </w:rPr>
              <w:t xml:space="preserve">Quelles ont été les demandes supplémentaires [AFT faite], si vous vous en souvenez?</w:t>
            </w:r>
          </w:p>
        </w:tc>
      </w:tr>
      <w:tr>
        <w:trPr>
          <w:trHeight w:val="5962" w:hRule="exact"/>
        </w:trPr>
        <w:tc>
          <w:tcPr>
            <w:tcBorders>
              <w:left w:val="single" w:sz="4"/>
              <w:bottom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ind w:left="260" w:right="0" w:firstLine="0"/>
              <w:jc w:val="both"/>
            </w:pPr>
            <w:r>
              <w:rPr>
                <w:rStyle w:val="CharStyle19"/>
              </w:rPr>
              <w:t xml:space="preserve">Ils ont donc très fortement plaidé pour le renforcement de nos recommandations concernant la vaccination et ont en particulier encouragé les CDC à recommander que les écoles ne soient pas rouvertes pour un enseignement en personne à moins que les enseignants ne soient tous entièrement vaccinés. Nous n'avons pas accepté cette orientation.</w:t>
            </w:r>
          </w:p>
          <w:p>
            <w:pPr>
              <w:pStyle w:val="Style18"/>
              <w:keepNext w:val="0"/>
              <w:keepLines w:val="0"/>
              <w:widowControl w:val="0"/>
              <w:shd w:val="clear" w:color="auto" w:fill="auto"/>
              <w:spacing w:before="0"/>
              <w:ind w:left="260" w:right="0" w:firstLine="0"/>
              <w:jc w:val="both"/>
            </w:pPr>
            <w:r>
              <w:rPr>
                <w:rStyle w:val="CharStyle19"/>
              </w:rPr>
              <w:t xml:space="preserve">Ils ont également fortement recommandé que les écoles ne devraient pas rouvrir ou que le CDC devrait dire que les écoles ne devraient pas rouvrir à moins qu'ils améliorent leur ventilation, CVC.</w:t>
            </w:r>
          </w:p>
          <w:p>
            <w:pPr>
              <w:pStyle w:val="Style18"/>
              <w:keepNext w:val="0"/>
              <w:keepLines w:val="0"/>
              <w:widowControl w:val="0"/>
              <w:shd w:val="clear" w:color="auto" w:fill="auto"/>
              <w:spacing w:before="0"/>
              <w:ind w:left="260" w:right="0" w:firstLine="0"/>
              <w:jc w:val="both"/>
            </w:pPr>
            <w:r>
              <w:rPr>
                <w:rStyle w:val="CharStyle19"/>
              </w:rPr>
              <w:t xml:space="preserve">Et pour ces deux recommandations, nous avons clairement indiqué que les écoles ne devaient pas faire vacciner tous les enseignants ou mettre à niveau la ventilation pour fournir un enseignement en personne.</w:t>
            </w:r>
          </w:p>
          <w:p>
            <w:pPr>
              <w:pStyle w:val="Style18"/>
              <w:keepNext w:val="0"/>
              <w:keepLines w:val="0"/>
              <w:widowControl w:val="0"/>
              <w:shd w:val="clear" w:color="auto" w:fill="auto"/>
              <w:spacing w:before="0"/>
              <w:ind w:left="260" w:right="0" w:firstLine="0"/>
              <w:jc w:val="both"/>
            </w:pPr>
            <w:r>
              <w:rPr>
                <w:rStyle w:val="CharStyle19"/>
              </w:rPr>
              <w:t xml:space="preserve">Ils voulaient également que nous précisions les types de masques qui devraient être requis, en particulier les respirateurs ou les masques plus protecteurs. Nous n'avons pas accepté cette recommandation.</w:t>
            </w:r>
          </w:p>
          <w:p>
            <w:pPr>
              <w:pStyle w:val="Style18"/>
              <w:keepNext w:val="0"/>
              <w:keepLines w:val="0"/>
              <w:widowControl w:val="0"/>
              <w:shd w:val="clear" w:color="auto" w:fill="auto"/>
              <w:spacing w:before="0"/>
              <w:ind w:left="260" w:right="0" w:firstLine="0"/>
              <w:jc w:val="both"/>
            </w:pPr>
            <w:r>
              <w:rPr>
                <w:rStyle w:val="CharStyle19"/>
              </w:rPr>
              <w:t xml:space="preserve">Et ils avaient également recommandé que nous devrions spécifier que 6 pieds de distance physique devrait être une exigence minimale, mais il devrait vraiment être plus élevé que cela lorsque cela est possible. </w:t>
              <w:footnoteReference w:id="253"/>
            </w:r>
          </w:p>
        </w:tc>
      </w:tr>
    </w:tbl>
    <w:p>
      <w:pPr>
        <w:widowControl w:val="0"/>
        <w:spacing w:after="279" w:line="1" w:lineRule="exact"/>
      </w:pP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Le Dr Massetti a compris que certaines choses défendues par l'AFT auraient rendu les ouvertures plus difficiles.</w:t>
      </w:r>
    </w:p>
    <w:p>
      <w:pPr>
        <w:pStyle w:val="Style24"/>
        <w:keepNext w:val="0"/>
        <w:keepLines w:val="0"/>
        <w:widowControl w:val="0"/>
        <w:shd w:val="clear" w:color="auto" w:fill="auto"/>
        <w:spacing w:before="0" w:after="280"/>
        <w:ind w:left="0" w:right="0" w:firstLine="740"/>
        <w:jc w:val="left"/>
      </w:pPr>
      <w:r>
        <w:rPr>
          <w:rStyle w:val="CharStyle25"/>
          <w:u w:val="single"/>
        </w:rPr>
        <w:t xml:space="preserve">Dre Gretta Massetti (31 octobre 2023)</w:t>
      </w:r>
    </w:p>
    <w:p>
      <w:pPr>
        <w:pStyle w:val="Style24"/>
        <w:keepNext w:val="0"/>
        <w:keepLines w:val="0"/>
        <w:widowControl w:val="0"/>
        <w:shd w:val="clear" w:color="auto" w:fill="auto"/>
        <w:spacing w:before="0" w:after="280"/>
        <w:ind w:left="1460" w:right="0" w:hanging="720"/>
        <w:jc w:val="left"/>
      </w:pPr>
      <w:r>
        <w:rPr>
          <w:rStyle w:val="CharStyle25"/>
        </w:rPr>
        <w:t xml:space="preserve">Q. Les quatre types de recommandations plus larges qu'ils ont faites précédemment - vaccinations, ventilation, masques et le minimum de 6 pieds - si elles avaient été mises en œuvre, moins d'écoles auraient-elles ouvert?</w:t>
      </w:r>
    </w:p>
    <w:p>
      <w:pPr>
        <w:pStyle w:val="Style24"/>
        <w:keepNext w:val="0"/>
        <w:keepLines w:val="0"/>
        <w:widowControl w:val="0"/>
        <w:shd w:val="clear" w:color="auto" w:fill="auto"/>
        <w:spacing w:before="0" w:after="280" w:line="264" w:lineRule="auto"/>
        <w:ind w:left="1460" w:right="0" w:hanging="720"/>
        <w:jc w:val="left"/>
      </w:pPr>
      <w:r>
        <w:rPr>
          <w:rStyle w:val="CharStyle25"/>
        </w:rPr>
        <w:t xml:space="preserve">R. Il est difficile d’envisager une hypothèse. Cela aurait certainement rendu la réouverture plus difficile pour les écoles, oui.</w:t>
        <w:footnoteReference w:id="254"/>
      </w:r>
    </w:p>
    <w:p>
      <w:pPr>
        <w:pStyle w:val="Style24"/>
        <w:keepNext w:val="0"/>
        <w:keepLines w:val="0"/>
        <w:widowControl w:val="0"/>
        <w:shd w:val="clear" w:color="auto" w:fill="auto"/>
        <w:spacing w:before="0"/>
        <w:ind w:left="0" w:right="0" w:firstLine="740"/>
        <w:jc w:val="left"/>
      </w:pPr>
      <w:r>
        <w:rPr>
          <w:rStyle w:val="CharStyle25"/>
        </w:rPr>
        <w:t xml:space="preserve">Parmi ses autres priorités, l’AFT a préconisé que les orientations incluent un «déclencheur» de fermeture qui fermerait automatiquement les écoles si le taux de positivité de la COVID-19 dépassait un certain seuil. Mme Ucelli-Kashyap a témoigné au sujet de la façon dont l'AFT interprétait les déclencheurs de fermeture.</w:t>
      </w:r>
    </w:p>
    <w:tbl>
      <w:tblPr>
        <w:tblOverlap w:val="never"/>
        <w:jc w:val="center"/>
        <w:tblLayout w:type="fixed"/>
      </w:tblPr>
      <w:tblGrid>
        <w:gridCol w:w="581"/>
        <w:gridCol w:w="6864"/>
      </w:tblGrid>
      <w:tr>
        <w:trPr>
          <w:trHeight w:val="466" w:hRule="exact"/>
        </w:trPr>
        <w:tc>
          <w:tcPr>
            <w:gridSpan w:val="2"/>
            <w:tcBorders>
              <w:top w:val="single" w:sz="4"/>
              <w:left w:val="single" w:sz="4"/>
              <w:right w:val="single" w:sz="4"/>
            </w:tcBorders>
            <w:shd w:val="clear" w:color="auto" w:fill="D9E9F8"/>
            <w:vAlign w:val="top"/>
          </w:tcPr>
          <w:p>
            <w:pPr>
              <w:pStyle w:val="Style18"/>
              <w:keepNext w:val="0"/>
              <w:keepLines w:val="0"/>
              <w:widowControl w:val="0"/>
              <w:shd w:val="clear" w:color="auto" w:fill="auto"/>
              <w:spacing w:before="0" w:after="0" w:line="240" w:lineRule="auto"/>
              <w:ind w:left="0" w:right="0" w:firstLine="0"/>
              <w:jc w:val="left"/>
            </w:pPr>
            <w:r>
              <w:rPr>
                <w:rStyle w:val="CharStyle19"/>
                <w:u w:val="single"/>
              </w:rPr>
              <w:t xml:space="preserve">Mme Ucelli-Kashyap (20 juin 2023)</w:t>
            </w:r>
          </w:p>
        </w:tc>
      </w:tr>
      <w:tr>
        <w:trPr>
          <w:trHeight w:val="830"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59" w:lineRule="auto"/>
              <w:ind w:left="260" w:right="0" w:firstLine="0"/>
              <w:jc w:val="left"/>
            </w:pPr>
            <w:r>
              <w:rPr>
                <w:rStyle w:val="CharStyle19"/>
              </w:rPr>
              <w:t xml:space="preserve">Si vous vous rappelez ou êtes capable de décrire simplement en général, qu'est-ce qu'un déclencheur de fermeture?</w:t>
            </w:r>
          </w:p>
        </w:tc>
      </w:tr>
      <w:tr>
        <w:trPr>
          <w:trHeight w:val="701" w:hRule="exact"/>
        </w:trPr>
        <w:tc>
          <w:tcPr>
            <w:tcBorders>
              <w:left w:val="single" w:sz="4"/>
              <w:bottom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64" w:lineRule="auto"/>
              <w:ind w:left="260" w:right="0" w:firstLine="0"/>
              <w:jc w:val="left"/>
            </w:pPr>
            <w:r>
              <w:rPr>
                <w:rStyle w:val="CharStyle19"/>
              </w:rPr>
              <w:t xml:space="preserve">Ce serait une mesure de la prévalence ou de la propagation virale qui provoquerait ou déclencherait une décision de ne pas fonctionner pleinement en personne. </w:t>
              <w:footnoteReference w:id="255"/>
            </w:r>
          </w:p>
        </w:tc>
      </w:tr>
    </w:tbl>
    <w:p>
      <w:pPr>
        <w:widowControl w:val="0"/>
        <w:spacing w:after="259" w:line="1" w:lineRule="exact"/>
      </w:pPr>
    </w:p>
    <w:p>
      <w:pPr>
        <w:pStyle w:val="Style24"/>
        <w:keepNext w:val="0"/>
        <w:keepLines w:val="0"/>
        <w:widowControl w:val="0"/>
        <w:shd w:val="clear" w:color="auto" w:fill="auto"/>
        <w:spacing w:before="0"/>
        <w:ind w:left="0" w:right="0" w:firstLine="740"/>
        <w:jc w:val="left"/>
      </w:pPr>
      <w:r>
        <w:rPr>
          <w:rStyle w:val="CharStyle25"/>
        </w:rPr>
        <w:t xml:space="preserve">Ces « déclencheurs » n’étaient pas seulement souhaités par l’AFT, mais aussi par d’autres syndicats d’enseignants à travers le pays. Comme indiqué précédemment, les enseignants de la ville de New York ont pu négocier avec le maire de Blasio pour mettre en œuvre un seuil de fermeture «déclencheur» d’un taux de positivité de 3 %. </w:t>
        <w:footnoteReference w:id="256"/>
      </w:r>
    </w:p>
    <w:p>
      <w:pPr>
        <w:pStyle w:val="Style24"/>
        <w:keepNext w:val="0"/>
        <w:keepLines w:val="0"/>
        <w:widowControl w:val="0"/>
        <w:shd w:val="clear" w:color="auto" w:fill="auto"/>
        <w:spacing w:before="0" w:line="259" w:lineRule="auto"/>
        <w:ind w:left="0" w:right="0" w:firstLine="740"/>
        <w:jc w:val="left"/>
      </w:pPr>
      <w:r>
        <w:rPr>
          <w:rStyle w:val="CharStyle25"/>
        </w:rPr>
        <w:t xml:space="preserve">Le Dr Massetti a témoigné que la CDC n’avait jamais recommandé de déclencheur de fermeture et qu’il n’existait aucune «preuve scientifique» à l’appui d’une telle mesure d’atténuation. </w:t>
        <w:footnoteReference w:id="257"/>
      </w:r>
    </w:p>
    <w:p>
      <w:pPr>
        <w:pStyle w:val="Style24"/>
        <w:keepNext w:val="0"/>
        <w:keepLines w:val="0"/>
        <w:widowControl w:val="0"/>
        <w:shd w:val="clear" w:color="auto" w:fill="auto"/>
        <w:spacing w:before="0"/>
        <w:ind w:left="0" w:right="0" w:firstLine="740"/>
        <w:jc w:val="left"/>
      </w:pPr>
      <w:r>
        <w:rPr>
          <w:rStyle w:val="CharStyle25"/>
          <w:u w:val="single"/>
        </w:rPr>
        <w:t xml:space="preserve">Greta Massetti (31 octobre 2023)</w:t>
      </w:r>
    </w:p>
    <w:p>
      <w:pPr>
        <w:pStyle w:val="Style24"/>
        <w:keepNext w:val="0"/>
        <w:keepLines w:val="0"/>
        <w:widowControl w:val="0"/>
        <w:shd w:val="clear" w:color="auto" w:fill="auto"/>
        <w:spacing w:before="0"/>
        <w:ind w:left="0" w:right="0" w:firstLine="740"/>
        <w:jc w:val="left"/>
      </w:pPr>
      <w:r>
        <w:rPr>
          <w:rStyle w:val="CharStyle25"/>
        </w:rPr>
        <w:t xml:space="preserve">Q. La CCL a-t-elle déjà évalué un déclencheur de fermeture ou un seuil de fermeture?</w:t>
      </w:r>
    </w:p>
    <w:p>
      <w:pPr>
        <w:pStyle w:val="Style24"/>
        <w:keepNext w:val="0"/>
        <w:keepLines w:val="0"/>
        <w:widowControl w:val="0"/>
        <w:shd w:val="clear" w:color="auto" w:fill="auto"/>
        <w:spacing w:before="0" w:after="0"/>
        <w:ind w:left="0" w:right="0" w:firstLine="740"/>
        <w:jc w:val="left"/>
      </w:pPr>
      <w:r>
        <w:rPr>
          <w:rStyle w:val="CharStyle25"/>
        </w:rPr>
        <w:t xml:space="preserve">R. Nous n'avons jamais recommandé de seuil de déclenchement ou de fermeture.</w:t>
      </w:r>
    </w:p>
    <w:p>
      <w:pPr>
        <w:pStyle w:val="Style24"/>
        <w:keepNext w:val="0"/>
        <w:keepLines w:val="0"/>
        <w:widowControl w:val="0"/>
        <w:shd w:val="clear" w:color="auto" w:fill="auto"/>
        <w:spacing w:before="0"/>
        <w:ind w:left="1460" w:right="0" w:firstLine="0"/>
        <w:jc w:val="left"/>
      </w:pPr>
      <w:r>
        <w:rPr>
          <w:rStyle w:val="CharStyle25"/>
        </w:rPr>
        <w:t xml:space="preserve">Quand il a été recommandé. Nous avons évalué les preuves et n'avons pas estimé qu'il y avait des preuves scientifiques pour suggérer qu'une était nécessaire.</w:t>
        <w:footnoteReference w:id="258"/>
      </w:r>
    </w:p>
    <w:p>
      <w:pPr>
        <w:pStyle w:val="Style24"/>
        <w:keepNext w:val="0"/>
        <w:keepLines w:val="0"/>
        <w:widowControl w:val="0"/>
        <w:shd w:val="clear" w:color="auto" w:fill="auto"/>
        <w:spacing w:before="0"/>
        <w:ind w:left="0" w:right="0" w:firstLine="740"/>
        <w:jc w:val="left"/>
      </w:pPr>
      <w:r>
        <w:rPr>
          <w:rStyle w:val="CharStyle25"/>
        </w:rPr>
        <w:t xml:space="preserve">M. Walensky a témoigné que l’AFT avait demandé que les «déclencheurs» de fermeture soient inclus dans la stratégie opérationnelle, mais qu’elle n’a pas été acceptée parce que l’objectif des orientations était d’ouvrir les écoles – et non de les fermer.</w:t>
      </w:r>
    </w:p>
    <w:p>
      <w:pPr>
        <w:pStyle w:val="Style24"/>
        <w:keepNext w:val="0"/>
        <w:keepLines w:val="0"/>
        <w:widowControl w:val="0"/>
        <w:shd w:val="clear" w:color="auto" w:fill="auto"/>
        <w:spacing w:before="0"/>
        <w:ind w:left="0" w:right="0" w:firstLine="740"/>
        <w:jc w:val="left"/>
      </w:pPr>
      <w:r>
        <w:rPr>
          <w:rStyle w:val="CharStyle25"/>
          <w:u w:val="single"/>
        </w:rPr>
        <w:t xml:space="preserve">Directrice Rochelle Walensky (13 juin 2023)</w:t>
      </w:r>
    </w:p>
    <w:p>
      <w:pPr>
        <w:pStyle w:val="Style24"/>
        <w:keepNext w:val="0"/>
        <w:keepLines w:val="0"/>
        <w:widowControl w:val="0"/>
        <w:shd w:val="clear" w:color="auto" w:fill="auto"/>
        <w:spacing w:before="0"/>
        <w:ind w:left="1460" w:right="0" w:hanging="720"/>
        <w:jc w:val="left"/>
      </w:pPr>
      <w:r>
        <w:rPr>
          <w:rStyle w:val="CharStyle25"/>
        </w:rPr>
        <w:t xml:space="preserve">Q. L'American Federation of Teachers a-t-elle proposé des modifications à la [stratégie opérationnelle], y compris un déclencheur pour fermer automatiquement les écoles, qui, si elles avaient été mises en œuvre, auraient gardé plus d'écoles fermées et d'enfants hors de la salle de classe?</w:t>
      </w:r>
    </w:p>
    <w:p>
      <w:pPr>
        <w:pStyle w:val="Style24"/>
        <w:keepNext w:val="0"/>
        <w:keepLines w:val="0"/>
        <w:widowControl w:val="0"/>
        <w:shd w:val="clear" w:color="auto" w:fill="auto"/>
        <w:spacing w:before="0" w:line="259" w:lineRule="auto"/>
        <w:ind w:left="1460" w:right="0" w:hanging="720"/>
        <w:jc w:val="left"/>
      </w:pPr>
      <w:r>
        <w:rPr>
          <w:rStyle w:val="CharStyle25"/>
        </w:rPr>
        <w:t xml:space="preserve">R. L'AFT souhaitait avoir des déclencheurs de fermeture. C'est ce que je comprends, oui.</w:t>
      </w:r>
      <w:r>
        <w:br w:type="page"/>
      </w:r>
    </w:p>
    <w:p>
      <w:pPr>
        <w:pStyle w:val="Style24"/>
        <w:keepNext w:val="0"/>
        <w:keepLines w:val="0"/>
        <w:widowControl w:val="0"/>
        <w:shd w:val="clear" w:color="auto" w:fill="auto"/>
        <w:spacing w:before="0" w:after="280" w:line="259" w:lineRule="auto"/>
        <w:ind w:left="1440" w:right="0" w:hanging="700"/>
        <w:jc w:val="left"/>
      </w:pPr>
      <w:r>
        <w:rPr>
          <w:rStyle w:val="CharStyle25"/>
        </w:rPr>
        <w:t xml:space="preserve">Q. Le déclencheur de fermeture suggéré par l’AFT était-il contraire à la science et aux données en vigueur à l’époque?</w:t>
      </w:r>
    </w:p>
    <w:p>
      <w:pPr>
        <w:pStyle w:val="Style24"/>
        <w:keepNext w:val="0"/>
        <w:keepLines w:val="0"/>
        <w:widowControl w:val="0"/>
        <w:shd w:val="clear" w:color="auto" w:fill="auto"/>
        <w:spacing w:before="0" w:after="280"/>
        <w:ind w:left="1440" w:right="0" w:hanging="700"/>
        <w:jc w:val="left"/>
      </w:pPr>
      <w:r>
        <w:rPr>
          <w:rStyle w:val="CharStyle25"/>
        </w:rPr>
        <w:t xml:space="preserve">R. Encore une fois, c'était quelque chose où nous avions des stratégies d'atténuation à plusieurs niveaux dans les directives opérationnelles pour garder nos écoles ouvertes... notre objectif n'était pas de parler de déclencheurs de fermeture d'écoles. Notre objectif dans ce guide était de les garder ouverts. </w:t>
        <w:footnoteReference w:id="259"/>
      </w:r>
    </w:p>
    <w:p>
      <w:pPr>
        <w:pStyle w:val="Style24"/>
        <w:keepNext w:val="0"/>
        <w:keepLines w:val="0"/>
        <w:widowControl w:val="0"/>
        <w:shd w:val="clear" w:color="auto" w:fill="auto"/>
        <w:spacing w:before="0" w:after="280"/>
        <w:ind w:left="0" w:right="0" w:firstLine="740"/>
        <w:jc w:val="left"/>
      </w:pPr>
      <w:r>
        <w:rPr>
          <w:rStyle w:val="CharStyle25"/>
        </w:rPr>
        <w:t xml:space="preserve">Selon les documents examinés par le sous-comité restreint, les premiers commentaires de l'AFT et d'autres syndicats d'enseignants ont rendu peu probable que le CDC soit en mesure de publier la stratégie opérationnelle conformément à la date de publication précédemment prévue du 3 février 2021. </w:t>
        <w:footnoteReference w:id="260"/>
      </w:r>
    </w:p>
    <w:p>
      <w:pPr>
        <w:pStyle w:val="Style39"/>
        <w:keepNext w:val="0"/>
        <w:keepLines w:val="0"/>
        <w:widowControl w:val="0"/>
        <w:shd w:val="clear" w:color="auto" w:fill="auto"/>
        <w:spacing w:before="0" w:after="40" w:line="240" w:lineRule="auto"/>
        <w:ind w:left="1440" w:right="0" w:firstLine="0"/>
        <w:jc w:val="left"/>
      </w:pPr>
      <w:r>
        <mc:AlternateContent>
          <mc:Choice Requires="wps">
            <w:drawing>
              <wp:anchor distT="0" distB="0" distL="114300" distR="114300" simplePos="0" relativeHeight="125829410" behindDoc="0" locked="0" layoutInCell="1" allowOverlap="1">
                <wp:simplePos x="0" y="0"/>
                <wp:positionH relativeFrom="page">
                  <wp:posOffset>995045</wp:posOffset>
                </wp:positionH>
                <wp:positionV relativeFrom="paragraph">
                  <wp:posOffset>12700</wp:posOffset>
                </wp:positionV>
                <wp:extent cx="374650" cy="511810"/>
                <wp:wrapSquare wrapText="right"/>
                <wp:docPr id="63" name="Forme 63"/>
                <a:graphic xmlns:a="http://schemas.openxmlformats.org/drawingml/2006/main">
                  <a:graphicData uri="http://schemas.microsoft.com/office/word/2010/wordprocessingShape">
                    <wps:wsp>
                      <wps:cNvSpPr txBox="1"/>
                      <wps:spPr>
                        <a:xfrm>
                          <a:ext cx="374650" cy="511810"/>
                        </a:xfrm>
                        <a:prstGeom prst="rect"/>
                        <a:noFill/>
                      </wps:spPr>
                      <wps:txbx>
                        <w:txbxContent>
                          <w:p>
                            <w:pPr>
                              <w:pStyle w:val="Style24"/>
                              <w:keepNext w:val="0"/>
                              <w:keepLines w:val="0"/>
                              <w:widowControl w:val="0"/>
                              <w:shd w:val="clear" w:color="auto" w:fill="auto"/>
                              <w:spacing w:before="0" w:after="0" w:line="290" w:lineRule="auto"/>
                              <w:ind w:left="0" w:right="0" w:firstLine="0"/>
                              <w:jc w:val="left"/>
                              <w:rPr>
                                <w:sz w:val="20"/>
                              </w:rPr>
                            </w:pPr>
                            <w:r>
                              <w:rPr>
                                <w:rStyle w:val="CharStyle25"/>
                                <w:color w:val="303030"/>
                                <w:sz w:val="20"/>
                              </w:rPr>
                              <w:t xml:space="preserve">À partir de:</w:t>
                            </w:r>
                          </w:p>
                          <w:p>
                            <w:pPr>
                              <w:pStyle w:val="Style24"/>
                              <w:keepNext w:val="0"/>
                              <w:keepLines w:val="0"/>
                              <w:widowControl w:val="0"/>
                              <w:shd w:val="clear" w:color="auto" w:fill="auto"/>
                              <w:spacing w:before="0" w:after="0" w:line="290" w:lineRule="auto"/>
                              <w:ind w:left="0" w:right="0" w:firstLine="0"/>
                              <w:jc w:val="left"/>
                              <w:rPr>
                                <w:sz w:val="20"/>
                              </w:rPr>
                            </w:pPr>
                            <w:r>
                              <w:rPr>
                                <w:rStyle w:val="CharStyle25"/>
                                <w:color w:val="303030"/>
                                <w:sz w:val="20"/>
                              </w:rPr>
                              <w:t xml:space="preserve">Envoyé: À l'attention de:</w:t>
                            </w:r>
                          </w:p>
                        </w:txbxContent>
                      </wps:txbx>
                      <wps:bodyPr lIns="0" tIns="0" rIns="0" bIns="0">
                        <a:noAutoFit/>
                      </wps:bodyPr>
                    </wps:wsp>
                  </a:graphicData>
                </a:graphic>
              </wp:anchor>
            </w:drawing>
          </mc:Choice>
        </mc:AlternateContent>
      </w:r>
      <w:r>
        <w:rPr>
          <w:rStyle w:val="CharStyle40"/>
          <w:color w:val="464648"/>
        </w:rPr>
        <w:t xml:space="preserve">Berger, Sherri (CDC/OCOO/OD)</w:t>
      </w:r>
    </w:p>
    <w:p>
      <w:pPr>
        <w:pStyle w:val="Style39"/>
        <w:keepNext w:val="0"/>
        <w:keepLines w:val="0"/>
        <w:widowControl w:val="0"/>
        <w:shd w:val="clear" w:color="auto" w:fill="auto"/>
        <w:spacing w:before="0" w:after="40" w:line="240" w:lineRule="auto"/>
        <w:ind w:left="1440" w:right="0" w:firstLine="0"/>
        <w:jc w:val="left"/>
      </w:pPr>
      <w:r>
        <w:rPr>
          <w:rStyle w:val="CharStyle40"/>
          <w:color w:val="464648"/>
        </w:rPr>
        <w:t xml:space="preserve">sam., 30 janv. 2021 00:39:14 +0000</w:t>
      </w:r>
    </w:p>
    <w:p>
      <w:pPr>
        <w:pStyle w:val="Style39"/>
        <w:keepNext w:val="0"/>
        <w:keepLines w:val="0"/>
        <w:widowControl w:val="0"/>
        <w:shd w:val="clear" w:color="auto" w:fill="auto"/>
        <w:spacing w:before="0" w:after="40" w:line="240" w:lineRule="auto"/>
        <w:ind w:left="1440" w:right="0" w:firstLine="0"/>
        <w:jc w:val="left"/>
      </w:pPr>
      <w:r>
        <w:rPr>
          <w:rStyle w:val="CharStyle40"/>
          <w:color w:val="464648"/>
        </w:rPr>
        <w:t xml:space="preserve">O'Connell, Dawn (HHS/IOS); Pearlman, Aj (HHS/IOS), Despres, Sarah (HHS/IOS);</w:t>
      </w:r>
    </w:p>
    <w:p>
      <w:pPr>
        <w:pStyle w:val="Style39"/>
        <w:keepNext w:val="0"/>
        <w:keepLines w:val="0"/>
        <w:widowControl w:val="0"/>
        <w:shd w:val="clear" w:color="auto" w:fill="auto"/>
        <w:spacing w:before="0" w:after="40" w:line="240" w:lineRule="auto"/>
        <w:ind w:left="0" w:right="0" w:firstLine="140"/>
        <w:jc w:val="both"/>
      </w:pPr>
      <w:r>
        <w:rPr>
          <w:rStyle w:val="CharStyle40"/>
          <w:color w:val="303030"/>
        </w:rPr>
        <w:t xml:space="preserve">Johnson, Carole A. POE/OMS</w:t>
      </w:r>
    </w:p>
    <w:p>
      <w:pPr>
        <w:pStyle w:val="Style39"/>
        <w:keepNext w:val="0"/>
        <w:keepLines w:val="0"/>
        <w:widowControl w:val="0"/>
        <w:shd w:val="clear" w:color="auto" w:fill="auto"/>
        <w:spacing w:before="0" w:after="40" w:line="240" w:lineRule="auto"/>
        <w:ind w:left="1700" w:right="0" w:firstLine="0"/>
        <w:jc w:val="left"/>
      </w:pPr>
      <w:r>
        <mc:AlternateContent>
          <mc:Choice Requires="wps">
            <w:drawing>
              <wp:anchor distT="0" distB="0" distL="114300" distR="114300" simplePos="0" relativeHeight="125829412" behindDoc="0" locked="0" layoutInCell="1" allowOverlap="1">
                <wp:simplePos x="0" y="0"/>
                <wp:positionH relativeFrom="page">
                  <wp:posOffset>995045</wp:posOffset>
                </wp:positionH>
                <wp:positionV relativeFrom="paragraph">
                  <wp:posOffset>12700</wp:posOffset>
                </wp:positionV>
                <wp:extent cx="201295" cy="149225"/>
                <wp:wrapSquare wrapText="right"/>
                <wp:docPr id="65" name="Forme 65"/>
                <a:graphic xmlns:a="http://schemas.openxmlformats.org/drawingml/2006/main">
                  <a:graphicData uri="http://schemas.microsoft.com/office/word/2010/wordprocessingShape">
                    <wps:wsp>
                      <wps:cNvSpPr txBox="1"/>
                      <wps:spPr>
                        <a:xfrm>
                          <a:ext cx="201295" cy="149225"/>
                        </a:xfrm>
                        <a:prstGeom prst="rect"/>
                        <a:noFill/>
                      </wps:spPr>
                      <wps:txbx>
                        <w:txbxContent>
                          <w:p>
                            <w:pPr>
                              <w:pStyle w:val="Style39"/>
                              <w:keepNext w:val="0"/>
                              <w:keepLines w:val="0"/>
                              <w:widowControl w:val="0"/>
                              <w:shd w:val="clear" w:color="auto" w:fill="auto"/>
                              <w:spacing w:before="0" w:after="0" w:line="240" w:lineRule="auto"/>
                              <w:ind w:left="0" w:right="0" w:firstLine="0"/>
                              <w:jc w:val="left"/>
                            </w:pPr>
                            <w:r>
                              <w:rPr>
                                <w:rStyle w:val="CharStyle40"/>
                              </w:rPr>
                              <w:t>Cc;</w:t>
                            </w:r>
                          </w:p>
                        </w:txbxContent>
                      </wps:txbx>
                      <wps:bodyPr wrap="none" lIns="0" tIns="0" rIns="0" bIns="0">
                        <a:noAutoFit/>
                      </wps:bodyPr>
                    </wps:wsp>
                  </a:graphicData>
                </a:graphic>
              </wp:anchor>
            </w:drawing>
          </mc:Choice>
        </mc:AlternateContent>
      </w:r>
      <w:r>
        <w:rPr>
          <w:rStyle w:val="CharStyle40"/>
          <w:color w:val="303030"/>
        </w:rPr>
        <w:t xml:space="preserve">Jones, Christopher M. (CDC/DDNID/NCIPC/OD); Schuchat, Anne MD [CDC/OD] ;</w:t>
      </w:r>
    </w:p>
    <w:p>
      <w:pPr>
        <w:pStyle w:val="Style39"/>
        <w:keepNext w:val="0"/>
        <w:keepLines w:val="0"/>
        <w:widowControl w:val="0"/>
        <w:shd w:val="clear" w:color="auto" w:fill="auto"/>
        <w:spacing w:before="0" w:after="40" w:line="240" w:lineRule="auto"/>
        <w:ind w:left="0" w:right="0" w:firstLine="140"/>
        <w:jc w:val="left"/>
      </w:pPr>
      <w:r>
        <w:rPr>
          <w:rStyle w:val="CharStyle40"/>
          <w:color w:val="464648"/>
        </w:rPr>
        <w:t xml:space="preserve">Walensky, Rochelle (CDC/OD); Walke, Henry (CDC/DDID/NCEZID/DPEI)</w:t>
      </w:r>
    </w:p>
    <w:p>
      <w:pPr>
        <w:pStyle w:val="Style39"/>
        <w:keepNext w:val="0"/>
        <w:keepLines w:val="0"/>
        <w:widowControl w:val="0"/>
        <w:shd w:val="clear" w:color="auto" w:fill="auto"/>
        <w:spacing w:before="0" w:after="620" w:line="240" w:lineRule="auto"/>
        <w:ind w:left="1260" w:right="0" w:firstLine="0"/>
        <w:jc w:val="left"/>
      </w:pPr>
      <w:r>
        <mc:AlternateContent>
          <mc:Choice Requires="wps">
            <w:drawing>
              <wp:anchor distT="0" distB="0" distL="114300" distR="114300" simplePos="0" relativeHeight="125829414" behindDoc="0" locked="0" layoutInCell="1" allowOverlap="1">
                <wp:simplePos x="0" y="0"/>
                <wp:positionH relativeFrom="page">
                  <wp:posOffset>995045</wp:posOffset>
                </wp:positionH>
                <wp:positionV relativeFrom="paragraph">
                  <wp:posOffset>12700</wp:posOffset>
                </wp:positionV>
                <wp:extent cx="506095" cy="155575"/>
                <wp:wrapSquare wrapText="right"/>
                <wp:docPr id="67" name="Forme 67"/>
                <a:graphic xmlns:a="http://schemas.openxmlformats.org/drawingml/2006/main">
                  <a:graphicData uri="http://schemas.microsoft.com/office/word/2010/wordprocessingShape">
                    <wps:wsp>
                      <wps:cNvSpPr txBox="1"/>
                      <wps:spPr>
                        <a:xfrm>
                          <a:ext cx="506095" cy="155575"/>
                        </a:xfrm>
                        <a:prstGeom prst="rect"/>
                        <a:noFill/>
                      </wps:spPr>
                      <wps:txbx>
                        <w:txbxContent>
                          <w:p>
                            <w:pPr>
                              <w:pStyle w:val="Style39"/>
                              <w:keepNext w:val="0"/>
                              <w:keepLines w:val="0"/>
                              <w:widowControl w:val="0"/>
                              <w:shd w:val="clear" w:color="auto" w:fill="auto"/>
                              <w:spacing w:before="0" w:after="0" w:line="240" w:lineRule="auto"/>
                              <w:ind w:left="0" w:right="0" w:firstLine="0"/>
                              <w:jc w:val="left"/>
                            </w:pPr>
                            <w:r>
                              <w:rPr>
                                <w:rStyle w:val="CharStyle40"/>
                                <w:color w:val="303030"/>
                              </w:rPr>
                              <w:t>Objet:</w:t>
                            </w:r>
                          </w:p>
                        </w:txbxContent>
                      </wps:txbx>
                      <wps:bodyPr wrap="none" lIns="0" tIns="0" rIns="0" bIns="0">
                        <a:noAutoFit/>
                      </wps:bodyPr>
                    </wps:wsp>
                  </a:graphicData>
                </a:graphic>
              </wp:anchor>
            </w:drawing>
          </mc:Choice>
        </mc:AlternateContent>
      </w:r>
      <w:r>
        <w:rPr>
          <w:rStyle w:val="CharStyle40"/>
          <w:color w:val="303030"/>
        </w:rPr>
        <w:t xml:space="preserve">RE : Révisé: D'Aft Orientation scolaire</w:t>
      </w:r>
    </w:p>
    <w:p>
      <w:pPr>
        <w:pStyle w:val="Style24"/>
        <w:keepNext w:val="0"/>
        <w:keepLines w:val="0"/>
        <w:widowControl w:val="0"/>
        <w:shd w:val="clear" w:color="auto" w:fill="auto"/>
        <w:spacing w:before="0" w:after="420" w:line="240" w:lineRule="auto"/>
        <w:ind w:left="140" w:right="0" w:firstLine="0"/>
        <w:jc w:val="left"/>
        <w:rPr>
          <w:sz w:val="24"/>
        </w:rPr>
      </w:pPr>
      <w:r>
        <w:drawing>
          <wp:anchor distT="0" distB="0" distL="0" distR="0" simplePos="0" relativeHeight="125829416" behindDoc="0" locked="0" layoutInCell="1" allowOverlap="1">
            <wp:simplePos x="0" y="0"/>
            <wp:positionH relativeFrom="page">
              <wp:posOffset>2625725</wp:posOffset>
            </wp:positionH>
            <wp:positionV relativeFrom="paragraph">
              <wp:posOffset>431800</wp:posOffset>
            </wp:positionV>
            <wp:extent cx="3627120" cy="365760"/>
            <wp:wrapTight wrapText="left">
              <wp:wrapPolygon>
                <wp:start x="13414" y="0"/>
                <wp:lineTo x="21600" y="0"/>
                <wp:lineTo x="21600" y="21600"/>
                <wp:lineTo x="0" y="21600"/>
                <wp:lineTo x="0" y="5990"/>
                <wp:lineTo x="13414" y="5990"/>
                <wp:lineTo x="13414" y="0"/>
              </wp:wrapPolygon>
            </wp:wrapTight>
            <wp:docPr id="69" name="Forme 69"/>
            <a:graphic xmlns:a="http://schemas.openxmlformats.org/drawingml/2006/main">
              <a:graphicData uri="http://schemas.openxmlformats.org/drawingml/2006/picture">
                <pic:pic xmlns:pic="http://schemas.openxmlformats.org/drawingml/2006/picture">
                  <pic:nvPicPr>
                    <pic:cNvPr id="70" name="Boîte à images 70"/>
                    <pic:cNvPicPr/>
                  </pic:nvPicPr>
                  <pic:blipFill>
                    <a:blip r:embed="rId34"/>
                    <a:stretch/>
                  </pic:blipFill>
                  <pic:spPr>
                    <a:xfrm>
                      <a:ext cx="3627120" cy="365760"/>
                    </a:xfrm>
                    <a:prstGeom prst="rect"/>
                  </pic:spPr>
                </pic:pic>
              </a:graphicData>
            </a:graphic>
          </wp:anchor>
        </w:drawing>
      </w:r>
      <w:r>
        <w:rPr>
          <w:rStyle w:val="CharStyle25"/>
          <w:color w:val="303030"/>
          <w:sz w:val="24"/>
        </w:rPr>
        <w:t xml:space="preserve">Mise à jour rapide: Rochelle et Carole ont commencé les appels des syndicats d'enseignants aujourd'hui. </w:t>
      </w:r>
      <w:r>
        <w:rPr>
          <w:rStyle w:val="CharStyle25"/>
          <w:sz w:val="24"/>
        </w:rPr>
        <w:t xml:space="preserve">Je </w:t>
      </w:r>
      <w:r>
        <w:rPr>
          <w:rStyle w:val="CharStyle25"/>
          <w:color w:val="303030"/>
          <w:sz w:val="24"/>
        </w:rPr>
        <w:t xml:space="preserve">pense qu'il y en aura peut-être un de plus à programmer lundi. Sur la base des commentaires, à cette chaux, il ne semble pas que mercredi fonctionnera pour déployer les nouvelles orientations. Merci (Et, un énorme merci</w:t>
      </w:r>
    </w:p>
    <w:p>
      <w:pPr>
        <w:pStyle w:val="Style24"/>
        <w:keepNext w:val="0"/>
        <w:keepLines w:val="0"/>
        <w:widowControl w:val="0"/>
        <w:shd w:val="clear" w:color="auto" w:fill="auto"/>
        <w:spacing w:before="0" w:after="280"/>
        <w:ind w:left="0" w:right="0" w:firstLine="740"/>
        <w:jc w:val="left"/>
      </w:pPr>
      <w:r>
        <w:rPr>
          <w:rStyle w:val="CharStyle25"/>
        </w:rPr>
        <w:t xml:space="preserve">Le retour d’information de l’AFT était également apparemment suffisamment sérieux pour obliger la CDC à programmer une autre réunion avec le personnel de l’AFT pour discuter de la stratégie opérationnelle le lundi 1er février 2021 suivant.</w:t>
        <w:footnoteReference w:id="261"/>
      </w:r>
    </w:p>
    <w:p>
      <w:pPr>
        <w:pStyle w:val="Style24"/>
        <w:keepNext w:val="0"/>
        <w:keepLines w:val="0"/>
        <w:widowControl w:val="0"/>
        <w:shd w:val="clear" w:color="auto" w:fill="auto"/>
        <w:spacing w:before="0" w:after="160"/>
        <w:ind w:left="0" w:right="0" w:firstLine="740"/>
        <w:jc w:val="left"/>
      </w:pPr>
      <w:r>
        <w:rPr>
          <w:rStyle w:val="CharStyle25"/>
        </w:rPr>
        <w:t xml:space="preserve">On ne sait pas quand les CDC ont initialement décidé qu'ils seraient ouverts à accepter des suggestions et des modifications dans les directives de l'AFT. Selon les courriels examinés par le sous-comité restreint, Mme Nedrow (Trautner) a écrit à Mme Weingarten que le CDC « ne semblait pas très ouvert aux modifications suggérées » le 31 janvier 2021.</w:t>
        <w:footnoteReference w:id="262"/>
        <w:t xml:space="preserve"> Le 1er février 2021, Mme Nedrow (Trautner) a de nouveau envoyé un courriel à Mme Weingarten en lui écrivant qu’« il semble très peu probable que l’une de nos modifications soit incorporée parce que le document passe principalement par leur processus de réexamen interne ». </w:t>
        <w:footnoteReference w:id="263"/>
      </w:r>
    </w:p>
    <w:p>
      <w:pPr>
        <w:pStyle w:val="Style24"/>
        <w:keepNext w:val="0"/>
        <w:keepLines w:val="0"/>
        <w:widowControl w:val="0"/>
        <w:shd w:val="clear" w:color="auto" w:fill="auto"/>
        <w:spacing w:before="0" w:after="320"/>
        <w:ind w:left="0" w:right="0" w:firstLine="740"/>
        <w:jc w:val="left"/>
      </w:pPr>
      <w:r>
        <w:rPr>
          <w:rStyle w:val="CharStyle25"/>
        </w:rPr>
        <w:t xml:space="preserve">Une autre employée de l’AFT, Mme Chelsea Prax, a semblé moins enthousiaste après la réunion de suivi avec la CDC du 1er février 2021, écrivant dans un courriel aux collègues qu’« il n’est pas clair que la CDC voulait un retour d’information, malgré leurs commentaires d’ouverture “nous écoutons” ».</w:t>
        <w:footnoteReference w:id="264"/>
        <w:t xml:space="preserve"> Toutefois, Mme Prax s’est ouvertement demandée si l’AFT poursuivait « d’autres dialogues » avec l’administration Biden-Harris concernant les orientations. </w:t>
        <w:footnoteReference w:id="265"/>
      </w:r>
    </w:p>
    <w:p>
      <w:pPr>
        <w:pStyle w:val="Style36"/>
        <w:keepNext w:val="0"/>
        <w:keepLines w:val="0"/>
        <w:widowControl w:val="0"/>
        <w:shd w:val="clear" w:color="auto" w:fill="auto"/>
        <w:spacing w:before="0" w:after="0" w:line="240" w:lineRule="auto"/>
        <w:ind w:left="0" w:right="0" w:firstLine="500"/>
        <w:jc w:val="left"/>
        <w:rPr>
          <w:sz w:val="15"/>
        </w:rPr>
      </w:pPr>
      <w:r>
        <w:rPr>
          <w:rStyle w:val="CharStyle37"/>
          <w:b/>
          <w:color w:val="000000"/>
        </w:rPr>
        <w:t xml:space="preserve">À partir de: </w:t>
      </w:r>
      <w:r>
        <w:rPr>
          <w:rStyle w:val="CharStyle37"/>
          <w:color w:val="303030"/>
          <w:sz w:val="15"/>
        </w:rPr>
        <w:t xml:space="preserve">Chelsea Prax, Esues éducatives</w:t>
      </w:r>
    </w:p>
    <w:p>
      <w:pPr>
        <w:pStyle w:val="Style36"/>
        <w:keepNext w:val="0"/>
        <w:keepLines w:val="0"/>
        <w:widowControl w:val="0"/>
        <w:shd w:val="clear" w:color="auto" w:fill="auto"/>
        <w:spacing w:before="0" w:after="0" w:line="240" w:lineRule="auto"/>
        <w:ind w:left="0" w:right="0" w:firstLine="500"/>
        <w:jc w:val="left"/>
        <w:rPr>
          <w:sz w:val="15"/>
        </w:rPr>
      </w:pPr>
      <w:r>
        <w:rPr>
          <w:rStyle w:val="CharStyle37"/>
          <w:b/>
          <w:color w:val="000000"/>
        </w:rPr>
        <w:t xml:space="preserve">Envoyé: </w:t>
      </w:r>
      <w:r>
        <w:rPr>
          <w:rStyle w:val="CharStyle37"/>
          <w:color w:val="303030"/>
          <w:sz w:val="15"/>
        </w:rPr>
        <w:t xml:space="preserve">Lundi 1 février 2021 14:38</w:t>
      </w:r>
    </w:p>
    <w:p>
      <w:pPr>
        <w:pStyle w:val="Style36"/>
        <w:keepNext w:val="0"/>
        <w:keepLines w:val="0"/>
        <w:widowControl w:val="0"/>
        <w:shd w:val="clear" w:color="auto" w:fill="auto"/>
        <w:spacing w:before="0" w:after="0" w:line="240" w:lineRule="auto"/>
        <w:ind w:left="0" w:right="0" w:firstLine="500"/>
        <w:jc w:val="left"/>
        <w:rPr>
          <w:sz w:val="15"/>
        </w:rPr>
      </w:pPr>
      <w:r>
        <w:rPr>
          <w:rStyle w:val="CharStyle37"/>
          <w:b/>
          <w:color w:val="000000"/>
        </w:rPr>
        <w:t xml:space="preserve">À l'attention de: </w:t>
      </w:r>
      <w:r>
        <w:rPr>
          <w:rStyle w:val="CharStyle37"/>
          <w:color w:val="303030"/>
          <w:sz w:val="15"/>
        </w:rPr>
        <w:t xml:space="preserve">Marla Ucelli-Kashyap, Esues éducatives</w:t>
      </w:r>
    </w:p>
    <w:p>
      <w:pPr>
        <w:pStyle w:val="Style36"/>
        <w:keepNext w:val="0"/>
        <w:keepLines w:val="0"/>
        <w:widowControl w:val="0"/>
        <w:shd w:val="clear" w:color="auto" w:fill="auto"/>
        <w:spacing w:before="0" w:after="240" w:line="240" w:lineRule="auto"/>
        <w:ind w:left="0" w:right="0" w:firstLine="500"/>
        <w:jc w:val="left"/>
        <w:rPr>
          <w:sz w:val="15"/>
        </w:rPr>
      </w:pPr>
      <w:r>
        <w:rPr>
          <w:rStyle w:val="CharStyle37"/>
          <w:b/>
          <w:color w:val="000000"/>
        </w:rPr>
        <w:t xml:space="preserve">Objet: </w:t>
      </w:r>
      <w:r>
        <w:rPr>
          <w:rStyle w:val="CharStyle37"/>
          <w:color w:val="303030"/>
          <w:sz w:val="15"/>
        </w:rPr>
        <w:t xml:space="preserve">RE : Principaux points à retenir: Document du CDC</w:t>
      </w:r>
    </w:p>
    <w:p>
      <w:pPr>
        <w:pStyle w:val="Style36"/>
        <w:keepNext w:val="0"/>
        <w:keepLines w:val="0"/>
        <w:widowControl w:val="0"/>
        <w:shd w:val="clear" w:color="auto" w:fill="auto"/>
        <w:spacing w:before="0" w:after="240" w:line="288" w:lineRule="auto"/>
        <w:ind w:left="0" w:right="0" w:firstLine="500"/>
        <w:jc w:val="left"/>
      </w:pPr>
      <w:r>
        <w:rPr>
          <w:rStyle w:val="CharStyle37"/>
        </w:rPr>
        <w:t xml:space="preserve">Hmm ... il n'est pas clair que le CDC </w:t>
      </w:r>
      <w:r>
        <w:rPr>
          <w:rStyle w:val="CharStyle37"/>
          <w:i/>
        </w:rPr>
        <w:t>voulait</w:t>
      </w:r>
      <w:r>
        <w:rPr>
          <w:rStyle w:val="CharStyle37"/>
        </w:rPr>
        <w:t xml:space="preserve"> des commentaires, malgré leurs commentaires d'ouverture "nous écoutons".</w:t>
      </w:r>
    </w:p>
    <w:p>
      <w:pPr>
        <w:pStyle w:val="Style36"/>
        <w:keepNext w:val="0"/>
        <w:keepLines w:val="0"/>
        <w:widowControl w:val="0"/>
        <w:shd w:val="clear" w:color="auto" w:fill="auto"/>
        <w:spacing w:before="0" w:after="240" w:line="288" w:lineRule="auto"/>
        <w:ind w:left="500" w:right="0" w:firstLine="0"/>
        <w:jc w:val="left"/>
      </w:pPr>
      <w:r>
        <w:rPr>
          <w:rStyle w:val="CharStyle37"/>
          <w:color w:val="303030"/>
        </w:rPr>
        <w:t xml:space="preserve">Je </w:t>
      </w:r>
      <w:r>
        <w:rPr>
          <w:rStyle w:val="CharStyle37"/>
        </w:rPr>
        <w:t xml:space="preserve">vous saurais gré de bien vouloir me dire comment </w:t>
      </w:r>
      <w:r>
        <w:rPr>
          <w:rStyle w:val="CharStyle37"/>
          <w:color w:val="A0A1A1"/>
        </w:rPr>
        <w:t xml:space="preserve">– </w:t>
      </w:r>
      <w:r>
        <w:rPr>
          <w:rStyle w:val="CharStyle37"/>
        </w:rPr>
        <w:t xml:space="preserve">ou si </w:t>
      </w:r>
      <w:r>
        <w:rPr>
          <w:rStyle w:val="CharStyle37"/>
          <w:color w:val="A0A1A1"/>
        </w:rPr>
        <w:t xml:space="preserve">– </w:t>
      </w:r>
      <w:r>
        <w:rPr>
          <w:rStyle w:val="CharStyle37"/>
        </w:rPr>
        <w:t xml:space="preserve">ces 30 minutes sont liées </w:t>
      </w:r>
      <w:r>
        <w:rPr>
          <w:rStyle w:val="CharStyle37"/>
          <w:color w:val="303030"/>
        </w:rPr>
        <w:t xml:space="preserve">à </w:t>
      </w:r>
      <w:r>
        <w:rPr>
          <w:rStyle w:val="CharStyle37"/>
        </w:rPr>
        <w:t xml:space="preserve">d’autres dialogues avec les agences fédérales/l’administration de Biden. J'ai l'impression que c'était loin de la façon dont Jane / Beth sont (aimerais être) engageant ED.</w:t>
      </w:r>
    </w:p>
    <w:p>
      <w:pPr>
        <w:pStyle w:val="Style36"/>
        <w:keepNext w:val="0"/>
        <w:keepLines w:val="0"/>
        <w:widowControl w:val="0"/>
        <w:shd w:val="clear" w:color="auto" w:fill="auto"/>
        <w:spacing w:before="0" w:after="320" w:line="288" w:lineRule="auto"/>
        <w:ind w:left="0" w:right="0" w:firstLine="500"/>
        <w:jc w:val="left"/>
      </w:pPr>
      <w:r>
        <w:rPr>
          <w:rStyle w:val="CharStyle37"/>
        </w:rPr>
        <w:t xml:space="preserve">Merci, C</w:t>
      </w:r>
    </w:p>
    <w:p>
      <w:pPr>
        <w:pStyle w:val="Style24"/>
        <w:keepNext w:val="0"/>
        <w:keepLines w:val="0"/>
        <w:widowControl w:val="0"/>
        <w:shd w:val="clear" w:color="auto" w:fill="auto"/>
        <w:spacing w:before="0" w:after="240" w:line="264" w:lineRule="auto"/>
        <w:ind w:left="0" w:right="0" w:firstLine="740"/>
        <w:jc w:val="left"/>
      </w:pPr>
      <w:r>
        <w:rPr>
          <w:rStyle w:val="CharStyle25"/>
        </w:rPr>
        <w:t xml:space="preserve">Quoi qu'il en soit, il n'est guère surprenant que le personnel de l'AFT ait pu avoir l'impression que le CDC n'était pas ouvert à leurs commentaires. De toute évidence, le personnel de l'AFT n'était pas satisfait des directives et croyait que ses mesures d'atténuation n'allaient pas assez loin.</w:t>
      </w:r>
    </w:p>
    <w:p>
      <w:pPr>
        <w:pStyle w:val="Style24"/>
        <w:keepNext w:val="0"/>
        <w:keepLines w:val="0"/>
        <w:widowControl w:val="0"/>
        <w:shd w:val="clear" w:color="auto" w:fill="auto"/>
        <w:spacing w:before="0" w:after="240"/>
        <w:ind w:left="0" w:right="0" w:firstLine="740"/>
        <w:jc w:val="left"/>
      </w:pPr>
      <w:r>
        <w:rPr>
          <w:rStyle w:val="CharStyle25"/>
        </w:rPr>
        <w:t xml:space="preserve">Selon les courriels examinés par le sous-comité restreint, le Dr Walke a qualifié la réunion de suivi avec le personnel de l’AFT du 1er février 2021 de « difficile ».</w:t>
        <w:footnoteReference w:id="266"/>
        <w:t xml:space="preserve"> Plus précisément, le Dr Walke a écrit qu’« il semblait que le personnel ne l’avait pas lue, l’avait confondue avec un autre document, ou peut-être ne comprenait pas l’intention ».</w:t>
        <w:footnoteReference w:id="267"/>
        <w:t xml:space="preserve">Entre autres choses, l’AFT souhaitait que les orientations soutiennent davantage de tests, de normes de ventilation et de mécanismes d’application pour les efforts d’atténuation.</w:t>
        <w:footnoteReference w:id="268"/>
      </w:r>
    </w:p>
    <w:p>
      <w:pPr>
        <w:pStyle w:val="Style24"/>
        <w:keepNext w:val="0"/>
        <w:keepLines w:val="0"/>
        <w:widowControl w:val="0"/>
        <w:shd w:val="clear" w:color="auto" w:fill="auto"/>
        <w:spacing w:before="0" w:after="320"/>
        <w:ind w:left="1460" w:right="0" w:hanging="720"/>
        <w:jc w:val="left"/>
      </w:pPr>
      <w:r>
        <w:rPr>
          <w:rStyle w:val="CharStyle25"/>
        </w:rPr>
        <w:t xml:space="preserve">Le Dr Massetti a témoigné que le type de rétroaction reçue de l'AFT rendait l'appel difficile.</w:t>
      </w:r>
    </w:p>
    <w:p>
      <w:pPr>
        <w:pStyle w:val="Style24"/>
        <w:keepNext w:val="0"/>
        <w:keepLines w:val="0"/>
        <w:widowControl w:val="0"/>
        <w:shd w:val="clear" w:color="auto" w:fill="auto"/>
        <w:spacing w:before="0" w:after="240"/>
        <w:ind w:left="1460" w:right="0" w:hanging="720"/>
        <w:jc w:val="left"/>
      </w:pPr>
      <w:r>
        <w:rPr>
          <w:rStyle w:val="CharStyle25"/>
          <w:u w:val="single"/>
        </w:rPr>
        <w:t xml:space="preserve">Greta Massetti (31 octobre 2023)</w:t>
      </w:r>
    </w:p>
    <w:p>
      <w:pPr>
        <w:pStyle w:val="Style24"/>
        <w:keepNext w:val="0"/>
        <w:keepLines w:val="0"/>
        <w:widowControl w:val="0"/>
        <w:shd w:val="clear" w:color="auto" w:fill="auto"/>
        <w:spacing w:before="0" w:after="240"/>
        <w:ind w:left="1460" w:right="0" w:hanging="720"/>
        <w:jc w:val="left"/>
      </w:pPr>
      <w:r>
        <w:rPr>
          <w:rStyle w:val="CharStyle25"/>
        </w:rPr>
        <w:t xml:space="preserve">Q. Pouvez-vous expliquer ce qui a rendu l'appel difficile?</w:t>
      </w:r>
    </w:p>
    <w:p>
      <w:pPr>
        <w:pStyle w:val="Style24"/>
        <w:keepNext w:val="0"/>
        <w:keepLines w:val="0"/>
        <w:widowControl w:val="0"/>
        <w:shd w:val="clear" w:color="auto" w:fill="auto"/>
        <w:spacing w:before="0" w:after="240"/>
        <w:ind w:left="1460" w:right="0" w:hanging="720"/>
        <w:jc w:val="left"/>
      </w:pPr>
      <w:r>
        <w:rPr>
          <w:rStyle w:val="CharStyle25"/>
        </w:rPr>
        <w:t xml:space="preserve">R. ...[L]e type de rétroaction qu'ils ont donné n'était pas conforme à ce que nous avions entendu d'autres partenaires. Et en particulier, ils nous encourageaient à incorporer beaucoup de termes dans les orientations qui ne relèvent pas vraiment du champ d’application de la CDC.</w:t>
      </w:r>
    </w:p>
    <w:p>
      <w:pPr>
        <w:pStyle w:val="Style24"/>
        <w:keepNext w:val="0"/>
        <w:keepLines w:val="0"/>
        <w:widowControl w:val="0"/>
        <w:shd w:val="clear" w:color="auto" w:fill="auto"/>
        <w:spacing w:before="0" w:after="340"/>
        <w:ind w:left="0" w:right="0" w:firstLine="740"/>
        <w:jc w:val="left"/>
      </w:pPr>
      <w:r>
        <w:rPr>
          <w:rStyle w:val="CharStyle25"/>
        </w:rPr>
        <w:t>***</w:t>
      </w:r>
    </w:p>
    <w:p>
      <w:pPr>
        <w:pStyle w:val="Style24"/>
        <w:keepNext w:val="0"/>
        <w:keepLines w:val="0"/>
        <w:widowControl w:val="0"/>
        <w:shd w:val="clear" w:color="auto" w:fill="auto"/>
        <w:spacing w:before="0" w:after="280" w:line="259" w:lineRule="auto"/>
        <w:ind w:left="1460" w:right="0" w:hanging="720"/>
        <w:jc w:val="left"/>
      </w:pPr>
      <w:r>
        <w:rPr>
          <w:rStyle w:val="CharStyle25"/>
        </w:rPr>
        <w:t xml:space="preserve">Q. Sur l’appel, si vous vous souvenez, qu’entendaient-ils par «mécanismes d’application souhaités pour les efforts d’atténuation dans les écoles»?</w:t>
      </w:r>
    </w:p>
    <w:p>
      <w:pPr>
        <w:pStyle w:val="Style24"/>
        <w:keepNext w:val="0"/>
        <w:keepLines w:val="0"/>
        <w:widowControl w:val="0"/>
        <w:shd w:val="clear" w:color="auto" w:fill="auto"/>
        <w:spacing w:before="0" w:after="340"/>
        <w:ind w:left="1460" w:right="0" w:hanging="720"/>
        <w:jc w:val="left"/>
      </w:pPr>
      <w:r>
        <w:rPr>
          <w:rStyle w:val="CharStyle25"/>
        </w:rPr>
        <w:t xml:space="preserve">R. Je pense qu’ils voulaient que nous puissions – ou que la CDC nous donne mandat – ou avaient suggéré que la CDC pourrait exiger le port de masques, des choses comme ça. Mais nous n’avons vraiment aucune autorité et nous ne serions pas en mesure de faire ce genre de recommandations. </w:t>
        <w:footnoteReference w:id="269"/>
      </w:r>
    </w:p>
    <w:p>
      <w:pPr>
        <w:pStyle w:val="Style24"/>
        <w:keepNext w:val="0"/>
        <w:keepLines w:val="0"/>
        <w:widowControl w:val="0"/>
        <w:shd w:val="clear" w:color="auto" w:fill="auto"/>
        <w:spacing w:before="0" w:after="280" w:line="259" w:lineRule="auto"/>
        <w:ind w:left="1460" w:right="0" w:hanging="1460"/>
        <w:jc w:val="left"/>
      </w:pPr>
      <w:r>
        <w:rPr>
          <w:rStyle w:val="CharStyle25"/>
        </w:rPr>
        <w:t xml:space="preserve">CONSTATATION : Les Centers for Disease Control and Prevention des États-Unis ont accepté les modifications apportées par l'American Federation of Teachers à la stratégie opérationnelle.</w:t>
      </w:r>
    </w:p>
    <w:p>
      <w:pPr>
        <w:pStyle w:val="Style24"/>
        <w:keepNext w:val="0"/>
        <w:keepLines w:val="0"/>
        <w:widowControl w:val="0"/>
        <w:shd w:val="clear" w:color="auto" w:fill="auto"/>
        <w:spacing w:before="0" w:after="400"/>
        <w:ind w:left="0" w:right="0" w:firstLine="740"/>
        <w:jc w:val="left"/>
      </w:pPr>
      <w:r>
        <w:rPr>
          <w:rStyle w:val="CharStyle25"/>
        </w:rPr>
        <w:t xml:space="preserve">Selon les documents et les communications examinés par le sous-comité restreint, le Dr Walensky a demandé à Mme Weingarten et à l'AFT de fournir un langage explicite lors de la réunion du 29 janvier 2021.</w:t>
        <w:footnoteReference w:id="270"/>
      </w:r>
    </w:p>
    <w:p>
      <w:pPr>
        <w:pStyle w:val="Style57"/>
        <w:keepNext w:val="0"/>
        <w:keepLines w:val="0"/>
        <w:widowControl w:val="0"/>
        <w:shd w:val="clear" w:color="auto" w:fill="auto"/>
        <w:spacing w:before="0" w:after="0" w:line="240" w:lineRule="auto"/>
        <w:ind w:left="0" w:right="0" w:firstLine="820"/>
        <w:jc w:val="left"/>
      </w:pPr>
      <w:r>
        <w:rPr>
          <w:rStyle w:val="CharStyle58"/>
          <w:b/>
          <w:color w:val="000000"/>
        </w:rPr>
        <w:t xml:space="preserve">À partir de: </w:t>
      </w:r>
      <w:r>
        <w:rPr>
          <w:rStyle w:val="CharStyle58"/>
          <w:color w:val="464648"/>
        </w:rPr>
        <w:t xml:space="preserve">Kelly Trautner, Problèmes de santé</w:t>
      </w:r>
    </w:p>
    <w:p>
      <w:pPr>
        <w:pStyle w:val="Style57"/>
        <w:keepNext w:val="0"/>
        <w:keepLines w:val="0"/>
        <w:widowControl w:val="0"/>
        <w:shd w:val="clear" w:color="auto" w:fill="auto"/>
        <w:spacing w:before="0" w:after="0" w:line="240" w:lineRule="auto"/>
        <w:ind w:left="0" w:right="0" w:firstLine="820"/>
        <w:jc w:val="left"/>
      </w:pPr>
      <w:r>
        <w:rPr>
          <w:rStyle w:val="CharStyle58"/>
          <w:b/>
          <w:color w:val="000000"/>
        </w:rPr>
        <w:t xml:space="preserve">Envoyé: </w:t>
      </w:r>
      <w:r>
        <w:rPr>
          <w:rStyle w:val="CharStyle58"/>
          <w:color w:val="464648"/>
        </w:rPr>
        <w:t xml:space="preserve">Vendredi 29 janvier 2021 18:43</w:t>
      </w:r>
    </w:p>
    <w:p>
      <w:pPr>
        <w:pStyle w:val="Style57"/>
        <w:keepNext w:val="0"/>
        <w:keepLines w:val="0"/>
        <w:widowControl w:val="0"/>
        <w:shd w:val="clear" w:color="auto" w:fill="auto"/>
        <w:spacing w:before="0" w:after="0" w:line="240" w:lineRule="auto"/>
        <w:ind w:left="980" w:right="0" w:hanging="140"/>
        <w:jc w:val="left"/>
      </w:pPr>
      <w:r>
        <w:rPr>
          <w:rStyle w:val="CharStyle58"/>
          <w:b/>
          <w:color w:val="303030"/>
        </w:rPr>
        <w:t xml:space="preserve">À l'attention de: </w:t>
      </w:r>
      <w:r>
        <w:rPr>
          <w:rStyle w:val="CharStyle58"/>
          <w:color w:val="464648"/>
        </w:rPr>
        <w:t xml:space="preserve">Marla Ucelli-Kashyap, Questions éducatives; Jane Meroney, législation; Beth Antunez, Législation; Sarah Tammelleo, </w:t>
      </w:r>
      <w:r>
        <w:rPr>
          <w:rStyle w:val="CharStyle58"/>
          <w:color w:val="303030"/>
        </w:rPr>
        <w:t xml:space="preserve">seard^^trategic Initiatives (initiatives stratégiques); </w:t>
      </w:r>
      <w:r>
        <w:rPr>
          <w:rStyle w:val="CharStyle58"/>
          <w:color w:val="464648"/>
        </w:rPr>
        <w:t xml:space="preserve"> Kyle Arnone, Recherche &amp; Initiatives stratégiques; amy bahruth; </w:t>
      </w:r>
      <w:r>
        <w:rPr>
          <w:rStyle w:val="CharStyle58"/>
          <w:color w:val="303030"/>
        </w:rPr>
        <w:t xml:space="preserve">Darryl </w:t>
      </w:r>
      <w:r>
        <w:rPr>
          <w:rStyle w:val="CharStyle58"/>
          <w:color w:val="464648"/>
        </w:rPr>
        <w:t xml:space="preserve">Alexander, président</w:t>
      </w:r>
    </w:p>
    <w:p>
      <w:pPr>
        <w:pStyle w:val="Style110"/>
        <w:keepNext w:val="0"/>
        <w:keepLines w:val="0"/>
        <w:widowControl w:val="0"/>
        <w:shd w:val="clear" w:color="auto" w:fill="auto"/>
        <w:spacing w:before="0" w:after="0" w:line="218" w:lineRule="auto"/>
        <w:ind w:left="0" w:right="0" w:firstLine="820"/>
        <w:jc w:val="left"/>
        <w:rPr>
          <w:sz w:val="16"/>
        </w:rPr>
      </w:pPr>
      <w:r>
        <w:rPr>
          <w:rStyle w:val="CharStyle111"/>
          <w:color w:val="000000"/>
          <w:sz w:val="16"/>
        </w:rPr>
        <w:t xml:space="preserve">'fe^mm^HUconsuttant, </w:t>
      </w:r>
      <w:r>
        <w:rPr>
          <w:rStyle w:val="CharStyle111"/>
          <w:sz w:val="16"/>
        </w:rPr>
        <w:t xml:space="preserve">Cabinet du Secrétaire-Trésorier</w:t>
      </w:r>
    </w:p>
    <w:p>
      <w:pPr>
        <w:pStyle w:val="Style57"/>
        <w:keepNext w:val="0"/>
        <w:keepLines w:val="0"/>
        <w:widowControl w:val="0"/>
        <w:shd w:val="clear" w:color="auto" w:fill="auto"/>
        <w:spacing w:before="0" w:after="220" w:line="240" w:lineRule="auto"/>
        <w:ind w:left="0" w:right="0" w:firstLine="820"/>
        <w:jc w:val="left"/>
      </w:pPr>
      <w:r>
        <w:rPr>
          <w:rStyle w:val="CharStyle58"/>
          <w:b/>
          <w:color w:val="303030"/>
        </w:rPr>
        <w:t xml:space="preserve">Objet: </w:t>
      </w:r>
      <w:r>
        <w:rPr>
          <w:rStyle w:val="CharStyle58"/>
          <w:color w:val="464648"/>
        </w:rPr>
        <w:t xml:space="preserve">CONFIDENTIEL : CDC</w:t>
      </w:r>
      <w:r>
        <w:rPr>
          <w:rStyle w:val="CharStyle58"/>
          <w:color w:val="303030"/>
        </w:rPr>
        <w:t xml:space="preserve">K-12 </w:t>
      </w:r>
      <w:r>
        <w:rPr>
          <w:rStyle w:val="CharStyle58"/>
          <w:color w:val="464648"/>
        </w:rPr>
        <w:t xml:space="preserve">Stratégie opérationnelle</w:t>
      </w:r>
    </w:p>
    <w:p>
      <w:pPr>
        <w:pStyle w:val="Style57"/>
        <w:keepNext w:val="0"/>
        <w:keepLines w:val="0"/>
        <w:widowControl w:val="0"/>
        <w:shd w:val="clear" w:color="auto" w:fill="auto"/>
        <w:spacing w:before="0" w:after="0" w:line="240" w:lineRule="auto"/>
        <w:ind w:left="0" w:right="0" w:firstLine="820"/>
        <w:jc w:val="left"/>
      </w:pPr>
      <w:r>
        <w:rPr>
          <w:rStyle w:val="CharStyle58"/>
          <w:color w:val="464648"/>
        </w:rPr>
        <w:t xml:space="preserve">VEUILLEZ NE PAS PARTAGER </w:t>
      </w:r>
      <w:r>
        <w:rPr>
          <w:rStyle w:val="CharStyle58"/>
          <w:color w:val="303030"/>
        </w:rPr>
        <w:t xml:space="preserve">CE PERSONNEL </w:t>
      </w:r>
      <w:r>
        <w:rPr>
          <w:rStyle w:val="CharStyle58"/>
          <w:color w:val="464648"/>
        </w:rPr>
        <w:t xml:space="preserve">AU-DELÀ DES PERSONNES ESSENTIELLES DE </w:t>
      </w:r>
      <w:r>
        <w:rPr>
          <w:rStyle w:val="CharStyle58"/>
          <w:color w:val="303030"/>
        </w:rPr>
        <w:t xml:space="preserve">L'AFT. </w:t>
      </w:r>
      <w:r>
        <w:rPr>
          <w:rStyle w:val="CharStyle58"/>
          <w:color w:val="464648"/>
        </w:rPr>
        <w:t xml:space="preserve">On nous a donné </w:t>
      </w:r>
      <w:r>
        <w:rPr>
          <w:rStyle w:val="CharStyle58"/>
          <w:color w:val="303030"/>
        </w:rPr>
        <w:t xml:space="preserve">un </w:t>
      </w:r>
      <w:r>
        <w:rPr>
          <w:rStyle w:val="CharStyle58"/>
          <w:color w:val="464648"/>
        </w:rPr>
        <w:t xml:space="preserve">avant-projet des directives du CDC,</w:t>
      </w:r>
    </w:p>
    <w:p>
      <w:pPr>
        <w:pStyle w:val="Style57"/>
        <w:keepNext w:val="0"/>
        <w:keepLines w:val="0"/>
        <w:widowControl w:val="0"/>
        <w:shd w:val="clear" w:color="auto" w:fill="auto"/>
        <w:spacing w:before="0" w:after="0" w:line="240" w:lineRule="auto"/>
        <w:ind w:left="0" w:right="0" w:firstLine="820"/>
        <w:jc w:val="left"/>
      </w:pPr>
      <w:r>
        <w:rPr>
          <w:rStyle w:val="CharStyle58"/>
          <w:color w:val="464648"/>
        </w:rPr>
        <w:t xml:space="preserve">La sortie </w:t>
      </w:r>
      <w:r>
        <w:rPr>
          <w:rStyle w:val="CharStyle58"/>
          <w:color w:val="303030"/>
        </w:rPr>
        <w:t xml:space="preserve">est prévue </w:t>
      </w:r>
      <w:r>
        <w:rPr>
          <w:rStyle w:val="CharStyle58"/>
          <w:color w:val="464648"/>
        </w:rPr>
        <w:t xml:space="preserve">mercredi prochain. </w:t>
      </w:r>
      <w:r>
        <w:rPr>
          <w:rStyle w:val="CharStyle58"/>
          <w:color w:val="303030"/>
        </w:rPr>
        <w:t xml:space="preserve">Amy </w:t>
      </w:r>
      <w:r>
        <w:rPr>
          <w:rStyle w:val="CharStyle58"/>
          <w:color w:val="464648"/>
        </w:rPr>
        <w:t xml:space="preserve">et </w:t>
      </w:r>
      <w:r>
        <w:rPr>
          <w:rStyle w:val="CharStyle58"/>
          <w:color w:val="303030"/>
        </w:rPr>
        <w:t xml:space="preserve">Darryl passent en revue maintenant, </w:t>
      </w:r>
      <w:r>
        <w:rPr>
          <w:rStyle w:val="CharStyle58"/>
          <w:color w:val="464648"/>
        </w:rPr>
        <w:t xml:space="preserve">nous allons partager des impressions.</w:t>
      </w:r>
    </w:p>
    <w:p>
      <w:pPr>
        <w:pStyle w:val="Style57"/>
        <w:keepNext w:val="0"/>
        <w:keepLines w:val="0"/>
        <w:widowControl w:val="0"/>
        <w:shd w:val="clear" w:color="auto" w:fill="auto"/>
        <w:spacing w:before="0" w:after="0" w:line="240" w:lineRule="auto"/>
        <w:ind w:left="0" w:right="0" w:firstLine="820"/>
        <w:jc w:val="left"/>
      </w:pPr>
      <w:r>
        <w:rPr>
          <w:rStyle w:val="CharStyle58"/>
          <w:color w:val="464648"/>
        </w:rPr>
        <w:t xml:space="preserve">Entre-temps, nous avons également un autre groupe (qui se chevauche quelque peu) qui travaille sur </w:t>
      </w:r>
      <w:r>
        <w:rPr>
          <w:rStyle w:val="CharStyle58"/>
          <w:color w:val="303030"/>
        </w:rPr>
        <w:t xml:space="preserve">la langue de l'accommodement. </w:t>
      </w:r>
    </w:p>
    <w:p>
      <w:pPr>
        <w:pStyle w:val="Style57"/>
        <w:keepNext w:val="0"/>
        <w:keepLines w:val="0"/>
        <w:widowControl w:val="0"/>
        <w:shd w:val="clear" w:color="auto" w:fill="auto"/>
        <w:spacing w:before="0" w:after="0" w:line="240" w:lineRule="auto"/>
        <w:ind w:left="0" w:right="0" w:firstLine="820"/>
        <w:jc w:val="left"/>
      </w:pPr>
      <w:r>
        <w:rPr>
          <w:rStyle w:val="CharStyle58"/>
          <w:color w:val="464648"/>
        </w:rPr>
        <w:t xml:space="preserve">Walensky a demandé à Randi pour </w:t>
      </w:r>
      <w:r>
        <w:rPr>
          <w:rStyle w:val="CharStyle58"/>
          <w:color w:val="303030"/>
        </w:rPr>
        <w:t>aujourd'hui.</w:t>
      </w:r>
    </w:p>
    <w:p>
      <w:pPr>
        <w:pStyle w:val="Style110"/>
        <w:keepNext w:val="0"/>
        <w:keepLines w:val="0"/>
        <w:widowControl w:val="0"/>
        <w:shd w:val="clear" w:color="auto" w:fill="auto"/>
        <w:spacing w:before="0" w:after="0" w:line="218" w:lineRule="auto"/>
        <w:ind w:left="0" w:right="0" w:firstLine="820"/>
        <w:jc w:val="left"/>
        <w:rPr>
          <w:sz w:val="16"/>
        </w:rPr>
      </w:pPr>
      <w:r>
        <w:rPr>
          <w:rStyle w:val="CharStyle111"/>
          <w:sz w:val="16"/>
        </w:rPr>
        <w:t xml:space="preserve">&lt;DRAFT Stratégie opérationnelle 2021 pour les écoles K-12 .pdf*</w:t>
      </w:r>
    </w:p>
    <w:p>
      <w:pPr>
        <w:pStyle w:val="Style110"/>
        <w:keepNext w:val="0"/>
        <w:keepLines w:val="0"/>
        <w:widowControl w:val="0"/>
        <w:shd w:val="clear" w:color="auto" w:fill="auto"/>
        <w:spacing w:before="0" w:after="340" w:line="218" w:lineRule="auto"/>
        <w:ind w:left="0" w:right="0" w:firstLine="820"/>
        <w:jc w:val="left"/>
        <w:rPr>
          <w:sz w:val="16"/>
        </w:rPr>
      </w:pPr>
      <w:r>
        <w:rPr>
          <w:rStyle w:val="CharStyle111"/>
          <w:sz w:val="16"/>
        </w:rPr>
        <w:t xml:space="preserve">&lt;2021.01.29 walensky appelle notcsREV.docx&gt;</w:t>
      </w: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Le Dr Massetti a témoigné que, même si la CCL sollicite les commentaires des intervenants, elle n'est pas obligée d'accepter les modifications.</w:t>
      </w:r>
    </w:p>
    <w:p>
      <w:pPr>
        <w:pStyle w:val="Style24"/>
        <w:keepNext w:val="0"/>
        <w:keepLines w:val="0"/>
        <w:widowControl w:val="0"/>
        <w:shd w:val="clear" w:color="auto" w:fill="auto"/>
        <w:spacing w:before="0" w:after="280"/>
        <w:ind w:left="0" w:right="0" w:firstLine="740"/>
        <w:jc w:val="left"/>
      </w:pPr>
      <w:r>
        <w:rPr>
          <w:rStyle w:val="CharStyle25"/>
          <w:u w:val="single"/>
        </w:rPr>
        <w:t xml:space="preserve">Dre Greta Massetti (31 octobre 2023)</w:t>
      </w:r>
    </w:p>
    <w:p>
      <w:pPr>
        <w:pStyle w:val="Style24"/>
        <w:keepNext w:val="0"/>
        <w:keepLines w:val="0"/>
        <w:widowControl w:val="0"/>
        <w:shd w:val="clear" w:color="auto" w:fill="auto"/>
        <w:spacing w:before="0" w:after="280" w:line="259" w:lineRule="auto"/>
        <w:ind w:left="1460" w:right="0" w:hanging="720"/>
        <w:jc w:val="left"/>
      </w:pPr>
      <w:r>
        <w:rPr>
          <w:rStyle w:val="CharStyle25"/>
        </w:rPr>
        <w:t xml:space="preserve">Q. Est-ce que ces groupes externes auraient la possibilité d'éditer ou de commenter [l'ébauche des lignes directrices]?</w:t>
      </w:r>
    </w:p>
    <w:p>
      <w:pPr>
        <w:pStyle w:val="Style24"/>
        <w:keepNext w:val="0"/>
        <w:keepLines w:val="0"/>
        <w:widowControl w:val="0"/>
        <w:shd w:val="clear" w:color="auto" w:fill="auto"/>
        <w:spacing w:before="0" w:after="280"/>
        <w:ind w:left="1460" w:right="0" w:hanging="720"/>
        <w:jc w:val="left"/>
      </w:pPr>
      <w:r>
        <w:rPr>
          <w:rStyle w:val="CharStyle25"/>
        </w:rPr>
        <w:t xml:space="preserve">R. Oui. De manière générale, nous avons sollicité des commentaires ou des demandes d’éclaircissements, mais notre pratique habituelle était d’indiquer clairement que nous prendrions en considération toutes les contributions, mais nous n’étions pas obligés d’apporter des modifications sur la base de ces contributions.</w:t>
      </w:r>
    </w:p>
    <w:p>
      <w:pPr>
        <w:pStyle w:val="Style24"/>
        <w:keepNext w:val="0"/>
        <w:keepLines w:val="0"/>
        <w:widowControl w:val="0"/>
        <w:shd w:val="clear" w:color="auto" w:fill="auto"/>
        <w:spacing w:before="0" w:after="280" w:line="264" w:lineRule="auto"/>
        <w:ind w:left="1460" w:right="0" w:hanging="720"/>
        <w:jc w:val="left"/>
      </w:pPr>
      <w:r>
        <w:rPr>
          <w:rStyle w:val="CharStyle25"/>
        </w:rPr>
        <w:t xml:space="preserve">Q. Avez-vous déjà reçu des modifications ligne par ligne de l'un des groupes externes sur les conseils de réouverture de l'école?</w:t>
      </w:r>
    </w:p>
    <w:p>
      <w:pPr>
        <w:pStyle w:val="Style24"/>
        <w:keepNext w:val="0"/>
        <w:keepLines w:val="0"/>
        <w:widowControl w:val="0"/>
        <w:shd w:val="clear" w:color="auto" w:fill="auto"/>
        <w:spacing w:before="0" w:line="259" w:lineRule="auto"/>
        <w:ind w:left="1460" w:right="0" w:hanging="720"/>
        <w:jc w:val="left"/>
      </w:pPr>
      <w:r>
        <w:rPr>
          <w:rStyle w:val="CharStyle25"/>
        </w:rPr>
        <w:t xml:space="preserve">A. Pourrais-je obtenir des éclaircissements sur ce que vous entendez par: comment définiriez-vous une modification ligne par ligne?</w:t>
      </w:r>
    </w:p>
    <w:p>
      <w:pPr>
        <w:pStyle w:val="Style24"/>
        <w:keepNext w:val="0"/>
        <w:keepLines w:val="0"/>
        <w:widowControl w:val="0"/>
        <w:shd w:val="clear" w:color="auto" w:fill="auto"/>
        <w:spacing w:before="0" w:line="264" w:lineRule="auto"/>
        <w:ind w:left="1460" w:right="0" w:hanging="720"/>
        <w:jc w:val="left"/>
      </w:pPr>
      <w:r>
        <w:rPr>
          <w:rStyle w:val="CharStyle25"/>
        </w:rPr>
        <w:t xml:space="preserve">Q. Comme un traditionnel, comme, grève et remplacer ou un traditionnel, nous avons besoin de cette ligne spécifique ajoutée. Pas comme des idées ou des pensées générales, mais comme le groupe extérieur qui fournit la langue.</w:t>
      </w:r>
    </w:p>
    <w:p>
      <w:pPr>
        <w:pStyle w:val="Style24"/>
        <w:keepNext w:val="0"/>
        <w:keepLines w:val="0"/>
        <w:widowControl w:val="0"/>
        <w:shd w:val="clear" w:color="auto" w:fill="auto"/>
        <w:spacing w:before="0" w:line="264" w:lineRule="auto"/>
        <w:ind w:left="0" w:right="0" w:firstLine="740"/>
        <w:jc w:val="left"/>
      </w:pPr>
      <w:r>
        <w:rPr>
          <w:rStyle w:val="CharStyle25"/>
        </w:rPr>
        <w:t xml:space="preserve">R. Oui, parfois nous avions des groupes externes qui fournissaient la langue, oui.</w:t>
        <w:footnoteReference w:id="271"/>
      </w:r>
    </w:p>
    <w:p>
      <w:pPr>
        <w:pStyle w:val="Style24"/>
        <w:keepNext w:val="0"/>
        <w:keepLines w:val="0"/>
        <w:widowControl w:val="0"/>
        <w:shd w:val="clear" w:color="auto" w:fill="auto"/>
        <w:spacing w:before="0" w:line="264" w:lineRule="auto"/>
        <w:ind w:left="0" w:right="0" w:firstLine="740"/>
        <w:jc w:val="left"/>
      </w:pPr>
      <w:r>
        <w:rPr>
          <w:rStyle w:val="CharStyle25"/>
        </w:rPr>
        <w:t xml:space="preserve">Le témoignage du Dr Massetti est apparemment contredit par celui du Dr Walke, qui a déclaré que, bien que le CDC reçoive souvent des commentaires et des suggestions de partenaires extérieurs, il est «peu courant» que des partenaires extérieurs envoient des modifications ligne par ligne. Le Dr Walke a également témoigné qu’il était « rare » que la CDC « incorpore » de telles modifications.</w:t>
      </w:r>
    </w:p>
    <w:p>
      <w:pPr>
        <w:pStyle w:val="Style24"/>
        <w:keepNext w:val="0"/>
        <w:keepLines w:val="0"/>
        <w:widowControl w:val="0"/>
        <w:shd w:val="clear" w:color="auto" w:fill="auto"/>
        <w:spacing w:before="0" w:line="264" w:lineRule="auto"/>
        <w:ind w:left="0" w:right="0" w:firstLine="740"/>
        <w:jc w:val="left"/>
      </w:pPr>
      <w:r>
        <w:rPr>
          <w:rStyle w:val="CharStyle25"/>
          <w:u w:val="single"/>
        </w:rPr>
        <w:t xml:space="preserve">Dr Henry Walke (18 février 2022)</w:t>
      </w:r>
    </w:p>
    <w:p>
      <w:pPr>
        <w:pStyle w:val="Style24"/>
        <w:keepNext w:val="0"/>
        <w:keepLines w:val="0"/>
        <w:widowControl w:val="0"/>
        <w:shd w:val="clear" w:color="auto" w:fill="auto"/>
        <w:spacing w:before="0" w:line="264" w:lineRule="auto"/>
        <w:ind w:left="1460" w:right="0" w:hanging="720"/>
        <w:jc w:val="left"/>
      </w:pPr>
      <w:r>
        <w:rPr>
          <w:rStyle w:val="CharStyle25"/>
        </w:rPr>
        <w:t xml:space="preserve">Q. Alors, sachant qu’il est rare d’envoyer des projets d’orientations en dehors du gouvernement, est-il rare que des groupes extérieurs envoient des projets d’orientations à... la CDC?</w:t>
      </w:r>
    </w:p>
    <w:p>
      <w:pPr>
        <w:pStyle w:val="Style24"/>
        <w:keepNext w:val="0"/>
        <w:keepLines w:val="0"/>
        <w:widowControl w:val="0"/>
        <w:shd w:val="clear" w:color="auto" w:fill="auto"/>
        <w:spacing w:before="0" w:after="540" w:line="264" w:lineRule="auto"/>
        <w:ind w:left="0" w:right="0" w:firstLine="740"/>
        <w:jc w:val="left"/>
      </w:pPr>
      <w:r>
        <w:rPr>
          <w:rStyle w:val="CharStyle25"/>
        </w:rPr>
        <w:t xml:space="preserve">R. C’est rare.</w:t>
      </w:r>
    </w:p>
    <w:p>
      <w:pPr>
        <w:pStyle w:val="Style24"/>
        <w:keepNext w:val="0"/>
        <w:keepLines w:val="0"/>
        <w:widowControl w:val="0"/>
        <w:shd w:val="clear" w:color="auto" w:fill="auto"/>
        <w:tabs>
          <w:tab w:pos="1412" w:val="left"/>
        </w:tabs>
        <w:spacing w:before="0" w:line="240" w:lineRule="auto"/>
        <w:ind w:left="0" w:right="0" w:firstLine="740"/>
        <w:jc w:val="left"/>
      </w:pPr>
      <w:r>
        <w:rPr>
          <w:rStyle w:val="CharStyle25"/>
        </w:rPr>
        <w:t>Q.</w:t>
        <w:tab/>
        <w:t xml:space="preserve">Peu fréquent pour, par exemple, des modifications ou des ajouts ligne par ligne?</w:t>
      </w:r>
    </w:p>
    <w:p>
      <w:pPr>
        <w:pStyle w:val="Style24"/>
        <w:keepNext w:val="0"/>
        <w:keepLines w:val="0"/>
        <w:widowControl w:val="0"/>
        <w:shd w:val="clear" w:color="auto" w:fill="auto"/>
        <w:tabs>
          <w:tab w:pos="1412" w:val="left"/>
        </w:tabs>
        <w:spacing w:before="0" w:after="840" w:line="240" w:lineRule="auto"/>
        <w:ind w:left="0" w:right="0" w:firstLine="740"/>
        <w:jc w:val="left"/>
      </w:pPr>
      <w:r>
        <w:rPr>
          <w:rStyle w:val="CharStyle25"/>
        </w:rPr>
        <w:t>A.</w:t>
        <w:tab/>
        <w:t xml:space="preserve">C’est exact.</w:t>
      </w:r>
    </w:p>
    <w:p>
      <w:pPr>
        <w:pStyle w:val="Style24"/>
        <w:keepNext w:val="0"/>
        <w:keepLines w:val="0"/>
        <w:widowControl w:val="0"/>
        <w:shd w:val="clear" w:color="auto" w:fill="auto"/>
        <w:spacing w:before="0" w:line="264" w:lineRule="auto"/>
        <w:ind w:left="1460" w:right="0" w:hanging="720"/>
        <w:jc w:val="left"/>
      </w:pPr>
      <w:r>
        <w:rPr>
          <w:rStyle w:val="CharStyle25"/>
        </w:rPr>
        <w:t xml:space="preserve">Q. En général, si un groupe externe envoie [au CDC] une modification ligne par ligne, pensez-vous qu'il est approprié de l'accepter?</w:t>
      </w:r>
    </w:p>
    <w:p>
      <w:pPr>
        <w:pStyle w:val="Style24"/>
        <w:keepNext w:val="0"/>
        <w:keepLines w:val="0"/>
        <w:widowControl w:val="0"/>
        <w:shd w:val="clear" w:color="auto" w:fill="auto"/>
        <w:spacing w:before="0" w:line="259" w:lineRule="auto"/>
        <w:ind w:left="1460" w:right="0" w:hanging="720"/>
        <w:jc w:val="left"/>
      </w:pPr>
      <w:r>
        <w:rPr>
          <w:rStyle w:val="CharStyle25"/>
        </w:rPr>
        <w:t xml:space="preserve">R. Comme je l'ai déjà dit, il serait rare que nous incorporions des modifications ligne par ligne dans nos directives. </w:t>
        <w:footnoteReference w:id="272"/>
      </w:r>
    </w:p>
    <w:p>
      <w:pPr>
        <w:pStyle w:val="Style24"/>
        <w:keepNext w:val="0"/>
        <w:keepLines w:val="0"/>
        <w:widowControl w:val="0"/>
        <w:shd w:val="clear" w:color="auto" w:fill="auto"/>
        <w:spacing w:before="0" w:line="264" w:lineRule="auto"/>
        <w:ind w:left="0" w:right="0" w:firstLine="740"/>
        <w:jc w:val="left"/>
      </w:pPr>
      <w:r>
        <w:rPr>
          <w:rStyle w:val="CharStyle25"/>
        </w:rPr>
        <w:t xml:space="preserve">Le 1er février 2021, Mme Nedrow (Trautner) a envoyé un courriel de suivi au personnel de la Maison-Blanche et du CDC.</w:t>
        <w:footnoteReference w:id="273"/>
        <w:t xml:space="preserve"> Mme Nedrow (Trautner) a ensuite fourni, au nom de Mme Weingarten, un libellé proposé qui comprenait plusieurs mesures d’adaptation «afin de limiter le risque d’exposition sur le lieu de travail»</w:t>
        <w:footnoteReference w:id="274"/>
        <w:t xml:space="preserve"> [ci-après «AFT Edit 1»].</w:t>
        <w:footnoteReference w:id="275"/>
      </w:r>
      <w:r>
        <w:br w:type="page"/>
      </w:r>
    </w:p>
    <w:p>
      <w:pPr>
        <w:pStyle w:val="Style24"/>
        <w:keepNext w:val="0"/>
        <w:keepLines w:val="0"/>
        <w:widowControl w:val="0"/>
        <w:shd w:val="clear" w:color="auto" w:fill="auto"/>
        <w:spacing w:before="0" w:after="0" w:line="240" w:lineRule="auto"/>
        <w:ind w:left="0" w:right="0" w:firstLine="800"/>
        <w:jc w:val="left"/>
        <w:rPr>
          <w:sz w:val="20"/>
        </w:rPr>
      </w:pPr>
      <w:r>
        <w:rPr>
          <w:rStyle w:val="CharStyle25"/>
          <w:sz w:val="20"/>
        </w:rPr>
        <w:t xml:space="preserve">À partir de: Kelly I </w:t>
      </w:r>
      <w:r>
        <w:rPr>
          <w:rStyle w:val="CharStyle25"/>
          <w:color w:val="303030"/>
          <w:sz w:val="20"/>
        </w:rPr>
        <w:t xml:space="preserve">'.utner, Hentrn</w:t>
      </w:r>
    </w:p>
    <w:p>
      <w:pPr>
        <w:pStyle w:val="Style57"/>
        <w:keepNext w:val="0"/>
        <w:keepLines w:val="0"/>
        <w:widowControl w:val="0"/>
        <w:shd w:val="clear" w:color="auto" w:fill="auto"/>
        <w:spacing w:before="0" w:after="200" w:line="293" w:lineRule="auto"/>
        <w:ind w:left="800" w:right="0" w:firstLine="0"/>
        <w:jc w:val="left"/>
      </w:pPr>
      <w:r>
        <mc:AlternateContent>
          <mc:Choice Requires="wps">
            <w:drawing>
              <wp:anchor distT="0" distB="0" distL="114300" distR="114300" simplePos="0" relativeHeight="125829417" behindDoc="0" locked="0" layoutInCell="1" allowOverlap="1">
                <wp:simplePos x="0" y="0"/>
                <wp:positionH relativeFrom="page">
                  <wp:posOffset>4388485</wp:posOffset>
                </wp:positionH>
                <wp:positionV relativeFrom="paragraph">
                  <wp:posOffset>114300</wp:posOffset>
                </wp:positionV>
                <wp:extent cx="1097280" cy="125095"/>
                <wp:wrapSquare wrapText="left"/>
                <wp:docPr id="71" name="Forme 71"/>
                <a:graphic xmlns:a="http://schemas.openxmlformats.org/drawingml/2006/main">
                  <a:graphicData uri="http://schemas.microsoft.com/office/word/2010/wordprocessingShape">
                    <wps:wsp>
                      <wps:cNvSpPr txBox="1"/>
                      <wps:spPr>
                        <a:xfrm>
                          <a:ext cx="1097280" cy="125095"/>
                        </a:xfrm>
                        <a:prstGeom prst="rect"/>
                        <a:noFill/>
                      </wps:spPr>
                      <wps:txbx>
                        <w:txbxContent>
                          <w:p>
                            <w:pPr>
                              <w:pStyle w:val="Style57"/>
                              <w:keepNext w:val="0"/>
                              <w:keepLines w:val="0"/>
                              <w:widowControl w:val="0"/>
                              <w:shd w:val="clear" w:color="auto" w:fill="auto"/>
                              <w:spacing w:before="0" w:after="0" w:line="240" w:lineRule="auto"/>
                              <w:ind w:left="0" w:right="0" w:firstLine="0"/>
                              <w:jc w:val="left"/>
                            </w:pPr>
                            <w:r>
                              <w:rPr>
                                <w:rStyle w:val="CharStyle58"/>
                                <w:color w:val="303030"/>
                              </w:rPr>
                              <w:t xml:space="preserve">jMartin, Carmel POE/OMS</w:t>
                            </w:r>
                          </w:p>
                        </w:txbxContent>
                      </wps:txbx>
                      <wps:bodyPr wrap="none" lIns="0" tIns="0" rIns="0" bIns="0">
                        <a:noAutoFit/>
                      </wps:bodyPr>
                    </wps:wsp>
                  </a:graphicData>
                </a:graphic>
              </wp:anchor>
            </w:drawing>
          </mc:Choice>
        </mc:AlternateContent>
      </w:r>
      <w:r>
        <mc:AlternateContent>
          <mc:Choice Requires="wps">
            <w:drawing>
              <wp:anchor distT="0" distB="0" distL="114300" distR="114300" simplePos="0" relativeHeight="125829419" behindDoc="0" locked="0" layoutInCell="1" allowOverlap="1">
                <wp:simplePos x="0" y="0"/>
                <wp:positionH relativeFrom="page">
                  <wp:posOffset>1541780</wp:posOffset>
                </wp:positionH>
                <wp:positionV relativeFrom="paragraph">
                  <wp:posOffset>381000</wp:posOffset>
                </wp:positionV>
                <wp:extent cx="450850" cy="125095"/>
                <wp:wrapSquare wrapText="right"/>
                <wp:docPr id="73" name="Forme 73"/>
                <a:graphic xmlns:a="http://schemas.openxmlformats.org/drawingml/2006/main">
                  <a:graphicData uri="http://schemas.microsoft.com/office/word/2010/wordprocessingShape">
                    <wps:wsp>
                      <wps:cNvSpPr txBox="1"/>
                      <wps:spPr>
                        <a:xfrm>
                          <a:ext cx="450850" cy="125095"/>
                        </a:xfrm>
                        <a:prstGeom prst="rect"/>
                        <a:noFill/>
                      </wps:spPr>
                      <wps:txbx>
                        <w:txbxContent>
                          <w:p>
                            <w:pPr>
                              <w:pStyle w:val="Style57"/>
                              <w:keepNext w:val="0"/>
                              <w:keepLines w:val="0"/>
                              <w:widowControl w:val="0"/>
                              <w:shd w:val="clear" w:color="auto" w:fill="auto"/>
                              <w:spacing w:before="0" w:after="0" w:line="240" w:lineRule="auto"/>
                              <w:ind w:left="0" w:right="0" w:firstLine="0"/>
                              <w:jc w:val="left"/>
                            </w:pPr>
                            <w:r>
                              <w:rPr>
                                <w:rStyle w:val="CharStyle58"/>
                                <w:color w:val="464648"/>
                                <w:u w:val="single"/>
                              </w:rPr>
                              <w:t>POE/OMS</w:t>
                            </w:r>
                          </w:p>
                        </w:txbxContent>
                      </wps:txbx>
                      <wps:bodyPr wrap="none" lIns="0" tIns="0" rIns="0" bIns="0">
                        <a:noAutoFit/>
                      </wps:bodyPr>
                    </wps:wsp>
                  </a:graphicData>
                </a:graphic>
              </wp:anchor>
            </w:drawing>
          </mc:Choice>
        </mc:AlternateContent>
      </w:r>
      <w:r>
        <w:rPr>
          <w:rStyle w:val="CharStyle58"/>
          <w:color w:val="303030"/>
        </w:rPr>
        <w:t xml:space="preserve">Envoyé: Lundi, </w:t>
      </w:r>
      <w:r>
        <w:rPr>
          <w:rStyle w:val="CharStyle58"/>
          <w:color w:val="464648"/>
        </w:rPr>
        <w:t xml:space="preserve">Février 1, 2021 </w:t>
      </w:r>
      <w:r>
        <w:rPr>
          <w:rStyle w:val="CharStyle58"/>
          <w:color w:val="464648"/>
          <w:u w:val="single"/>
        </w:rPr>
        <w:t xml:space="preserve">7:27 </w:t>
      </w:r>
      <w:r>
        <w:rPr>
          <w:rStyle w:val="CharStyle58"/>
          <w:color w:val="303030"/>
          <w:u w:val="single"/>
        </w:rPr>
        <w:t xml:space="preserve">Ph </w:t>
      </w:r>
      <w:r>
        <w:rPr>
          <w:rStyle w:val="CharStyle58"/>
          <w:color w:val="303030"/>
        </w:rPr>
        <w:t xml:space="preserve">À: Johnson, </w:t>
      </w:r>
      <w:r>
        <w:rPr>
          <w:rStyle w:val="CharStyle58"/>
          <w:color w:val="464648"/>
        </w:rPr>
        <w:t xml:space="preserve">Carole A. POE/OMS</w:t>
      </w:r>
    </w:p>
    <w:p>
      <w:pPr>
        <w:pStyle w:val="Style57"/>
        <w:keepNext w:val="0"/>
        <w:keepLines w:val="0"/>
        <w:widowControl w:val="0"/>
        <w:shd w:val="clear" w:color="auto" w:fill="auto"/>
        <w:spacing w:before="0" w:after="0" w:line="276" w:lineRule="auto"/>
        <w:ind w:left="1460" w:right="0" w:firstLine="1200"/>
        <w:jc w:val="left"/>
      </w:pPr>
      <w:r>
        <w:drawing>
          <wp:anchor distT="243840" distB="0" distL="0" distR="60960" simplePos="0" relativeHeight="125829421" behindDoc="0" locked="0" layoutInCell="1" allowOverlap="1">
            <wp:simplePos x="0" y="0"/>
            <wp:positionH relativeFrom="page">
              <wp:posOffset>5175250</wp:posOffset>
            </wp:positionH>
            <wp:positionV relativeFrom="paragraph">
              <wp:posOffset>370840</wp:posOffset>
            </wp:positionV>
            <wp:extent cx="1243330" cy="274320"/>
            <wp:wrapTight wrapText="left">
              <wp:wrapPolygon>
                <wp:start x="5785" y="0"/>
                <wp:lineTo x="21600" y="0"/>
                <wp:lineTo x="21600" y="21600"/>
                <wp:lineTo x="5785" y="21600"/>
                <wp:lineTo x="5785" y="20872"/>
                <wp:lineTo x="0" y="20872"/>
                <wp:lineTo x="0" y="9708"/>
                <wp:lineTo x="5785" y="9708"/>
                <wp:lineTo x="5785" y="0"/>
              </wp:wrapPolygon>
            </wp:wrapTight>
            <wp:docPr id="75" name="Forme 75"/>
            <a:graphic xmlns:a="http://schemas.openxmlformats.org/drawingml/2006/main">
              <a:graphicData uri="http://schemas.openxmlformats.org/drawingml/2006/picture">
                <pic:pic xmlns:pic="http://schemas.openxmlformats.org/drawingml/2006/picture">
                  <pic:nvPicPr>
                    <pic:cNvPr id="76" name="Boîte à images 76"/>
                    <pic:cNvPicPr/>
                  </pic:nvPicPr>
                  <pic:blipFill>
                    <a:blip r:embed="rId36"/>
                    <a:stretch/>
                  </pic:blipFill>
                  <pic:spPr>
                    <a:xfrm>
                      <a:ext cx="1243330" cy="274320"/>
                    </a:xfrm>
                    <a:prstGeom prst="rect"/>
                  </pic:spPr>
                </pic:pic>
              </a:graphicData>
            </a:graphic>
          </wp:anchor>
        </w:drawing>
      </w:r>
      <w:r>
        <mc:AlternateContent>
          <mc:Choice Requires="wps">
            <w:drawing>
              <wp:anchor distT="0" distB="0" distL="0" distR="0" simplePos="0" relativeHeight="503316496" behindDoc="0" locked="0" layoutInCell="1" allowOverlap="1">
                <wp:simplePos x="0" y="0"/>
                <wp:positionH relativeFrom="page">
                  <wp:posOffset>5861050</wp:posOffset>
                </wp:positionH>
                <wp:positionV relativeFrom="paragraph">
                  <wp:posOffset>127000</wp:posOffset>
                </wp:positionV>
                <wp:extent cx="615950" cy="118745"/>
                <wp:wrapNone/>
                <wp:docPr id="77" name="Forme 77"/>
                <a:graphic xmlns:a="http://schemas.openxmlformats.org/drawingml/2006/main">
                  <a:graphicData uri="http://schemas.microsoft.com/office/word/2010/wordprocessingShape">
                    <wps:wsp>
                      <wps:cNvSpPr txBox="1"/>
                      <wps:spPr>
                        <a:xfrm>
                          <a:ext cx="615950" cy="118745"/>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4"/>
                              </w:rPr>
                            </w:pPr>
                            <w:r>
                              <w:rPr>
                                <w:rStyle w:val="CharStyle28"/>
                                <w:color w:val="303030"/>
                                <w:sz w:val="14"/>
                              </w:rPr>
                              <w:t xml:space="preserve">Gonzalez (homonymie)</w:t>
                            </w:r>
                          </w:p>
                        </w:txbxContent>
                      </wps:txbx>
                      <wps:bodyPr lIns="0" tIns="0" rIns="0" bIns="0">
                        <a:noAutoFit/>
                      </wps:bodyPr>
                    </wps:wsp>
                  </a:graphicData>
                </a:graphic>
              </wp:anchor>
            </w:drawing>
          </mc:Choice>
        </mc:AlternateContent>
      </w:r>
      <w:r>
        <w:rPr>
          <w:rStyle w:val="CharStyle58"/>
          <w:color w:val="464648"/>
        </w:rPr>
        <w:t xml:space="preserve">Mclntee, Wil</w:t>
      </w:r>
      <w:r>
        <w:rPr>
          <w:rStyle w:val="CharStyle58"/>
          <w:color w:val="464648"/>
          <w:u w:val="single"/>
        </w:rPr>
        <w:t xml:space="preserve">liam </w:t>
      </w:r>
      <w:r>
        <w:rPr>
          <w:rStyle w:val="CharStyle58"/>
          <w:color w:val="303030"/>
          <w:u w:val="single"/>
        </w:rPr>
        <w:t xml:space="preserve">T. </w:t>
      </w:r>
      <w:r>
        <w:rPr>
          <w:rStyle w:val="CharStyle58"/>
          <w:color w:val="464648"/>
          <w:u w:val="single"/>
        </w:rPr>
        <w:t xml:space="preserve">EOP/OMS lokolo, </w:t>
      </w:r>
      <w:r>
        <w:rPr>
          <w:rStyle w:val="CharStyle58"/>
          <w:color w:val="303030"/>
        </w:rPr>
        <w:t xml:space="preserve"> </w:t>
      </w:r>
      <w:r>
        <w:rPr>
          <w:rStyle w:val="CharStyle58"/>
          <w:color w:val="464648"/>
        </w:rPr>
        <w:t xml:space="preserve">Osaremen </w:t>
      </w:r>
      <w:r>
        <w:rPr>
          <w:rStyle w:val="CharStyle58"/>
          <w:color w:val="303030"/>
        </w:rPr>
        <w:t xml:space="preserve">F. EOP/OMS</w:t>
      </w:r>
    </w:p>
    <w:p>
      <w:pPr>
        <w:pStyle w:val="Style57"/>
        <w:keepNext w:val="0"/>
        <w:keepLines w:val="0"/>
        <w:widowControl w:val="0"/>
        <w:shd w:val="clear" w:color="auto" w:fill="auto"/>
        <w:spacing w:before="0" w:after="0" w:line="240" w:lineRule="auto"/>
        <w:ind w:left="0" w:right="0" w:firstLine="800"/>
        <w:jc w:val="left"/>
      </w:pPr>
      <w:r>
        <w:drawing>
          <wp:anchor distT="0" distB="0" distL="0" distR="0" simplePos="0" relativeHeight="125829422" behindDoc="0" locked="0" layoutInCell="1" allowOverlap="1">
            <wp:simplePos x="0" y="0"/>
            <wp:positionH relativeFrom="page">
              <wp:posOffset>2593340</wp:posOffset>
            </wp:positionH>
            <wp:positionV relativeFrom="paragraph">
              <wp:posOffset>114300</wp:posOffset>
            </wp:positionV>
            <wp:extent cx="1822450" cy="262255"/>
            <wp:wrapTight wrapText="bothSides">
              <wp:wrapPolygon>
                <wp:start x="10203" y="0"/>
                <wp:lineTo x="21600" y="0"/>
                <wp:lineTo x="21600" y="11553"/>
                <wp:lineTo x="10601" y="11553"/>
                <wp:lineTo x="10601" y="11805"/>
                <wp:lineTo x="10565" y="11805"/>
                <wp:lineTo x="10565" y="21600"/>
                <wp:lineTo x="0" y="21600"/>
                <wp:lineTo x="0" y="11051"/>
                <wp:lineTo x="10203" y="11051"/>
                <wp:lineTo x="10203" y="0"/>
              </wp:wrapPolygon>
            </wp:wrapTight>
            <wp:docPr id="79" name="Forme 79"/>
            <a:graphic xmlns:a="http://schemas.openxmlformats.org/drawingml/2006/main">
              <a:graphicData uri="http://schemas.openxmlformats.org/drawingml/2006/picture">
                <pic:pic xmlns:pic="http://schemas.openxmlformats.org/drawingml/2006/picture">
                  <pic:nvPicPr>
                    <pic:cNvPr id="80" name="Boîte à images 80"/>
                    <pic:cNvPicPr/>
                  </pic:nvPicPr>
                  <pic:blipFill>
                    <a:blip r:embed="rId38"/>
                    <a:stretch/>
                  </pic:blipFill>
                  <pic:spPr>
                    <a:xfrm>
                      <a:ext cx="1822450" cy="262255"/>
                    </a:xfrm>
                    <a:prstGeom prst="rect"/>
                  </pic:spPr>
                </pic:pic>
              </a:graphicData>
            </a:graphic>
          </wp:anchor>
        </w:drawing>
      </w:r>
      <w:r>
        <w:rPr>
          <w:rStyle w:val="CharStyle58"/>
          <w:color w:val="000000"/>
        </w:rPr>
        <w:t xml:space="preserve">EOP/WHo _ _ _ _ _ _ _ _ _ _ _ _ _ _ _ _ _ _ _ _ _ _ _ _ _ _ _ _ _ _ _ _ _ _ _ _ _ _ _ _ _ _ _ _ _ _ _ _ _ _ _ _ _ _ _</w:t>
      </w:r>
    </w:p>
    <w:p>
      <w:pPr>
        <w:pStyle w:val="Style57"/>
        <w:keepNext w:val="0"/>
        <w:keepLines w:val="0"/>
        <w:widowControl w:val="0"/>
        <w:shd w:val="clear" w:color="auto" w:fill="auto"/>
        <w:tabs>
          <w:tab w:pos="4526" w:val="left"/>
        </w:tabs>
        <w:spacing w:before="0" w:after="0" w:line="240" w:lineRule="auto"/>
        <w:ind w:left="0" w:right="0" w:firstLine="0"/>
        <w:jc w:val="left"/>
      </w:pPr>
      <w:r>
        <w:rPr>
          <w:rStyle w:val="CharStyle58"/>
          <w:color w:val="303030"/>
        </w:rPr>
        <w:t xml:space="preserve">Cc : </w:t>
      </w:r>
      <w:r>
        <w:rPr>
          <w:rStyle w:val="CharStyle58"/>
          <w:color w:val="464648"/>
        </w:rPr>
        <w:t xml:space="preserve">Michelle Ringuette, Cabinet du </w:t>
      </w:r>
      <w:r>
        <w:rPr>
          <w:rStyle w:val="CharStyle58"/>
          <w:color w:val="303030"/>
        </w:rPr>
        <w:t xml:space="preserve"> </w:t>
      </w:r>
      <w:r>
        <w:rPr>
          <w:rStyle w:val="CharStyle58"/>
          <w:color w:val="464648"/>
        </w:rPr>
        <w:t xml:space="preserve">président </w:t>
      </w:r>
      <w:r>
        <w:rPr>
          <w:rStyle w:val="CharStyle58"/>
          <w:color w:val="303030"/>
        </w:rPr>
        <w:t xml:space="preserve">Jane Meroney, </w:t>
      </w:r>
      <w:r>
        <w:rPr>
          <w:rStyle w:val="CharStyle58"/>
          <w:color w:val="464648"/>
        </w:rPr>
        <w:t>Législation</w:t>
      </w:r>
    </w:p>
    <w:p>
      <w:pPr>
        <w:pStyle w:val="Style57"/>
        <w:keepNext w:val="0"/>
        <w:keepLines w:val="0"/>
        <w:widowControl w:val="0"/>
        <w:shd w:val="clear" w:color="auto" w:fill="auto"/>
        <w:tabs>
          <w:tab w:pos="3077" w:val="left"/>
        </w:tabs>
        <w:spacing w:before="0" w:after="0" w:line="240" w:lineRule="auto"/>
        <w:ind w:left="0" w:right="0" w:firstLine="0"/>
        <w:jc w:val="left"/>
      </w:pPr>
      <w:r>
        <w:rPr>
          <w:rStyle w:val="CharStyle58"/>
          <w:color w:val="464648"/>
        </w:rPr>
        <w:t xml:space="preserve">Beth Antunez, Législation</w:t>
        <w:tab/>
        <w:t xml:space="preserve">Marla </w:t>
      </w:r>
      <w:r>
        <w:rPr>
          <w:rStyle w:val="CharStyle58"/>
          <w:color w:val="303030"/>
        </w:rPr>
        <w:t xml:space="preserve">Ucelli-Kashyap, </w:t>
      </w:r>
      <w:r>
        <w:rPr>
          <w:rStyle w:val="CharStyle58"/>
          <w:color w:val="464648"/>
        </w:rPr>
        <w:t xml:space="preserve">Questions éducatives</w:t>
      </w:r>
    </w:p>
    <w:p>
      <w:pPr>
        <w:pStyle w:val="Style57"/>
        <w:keepNext w:val="0"/>
        <w:keepLines w:val="0"/>
        <w:widowControl w:val="0"/>
        <w:shd w:val="clear" w:color="auto" w:fill="auto"/>
        <w:spacing w:before="0" w:after="200" w:line="240" w:lineRule="auto"/>
        <w:ind w:left="0" w:right="0" w:firstLine="800"/>
        <w:jc w:val="left"/>
      </w:pPr>
      <w:r>
        <w:rPr>
          <w:rStyle w:val="CharStyle58"/>
          <w:color w:val="303030"/>
        </w:rPr>
        <w:t xml:space="preserve">Objet: </w:t>
      </w:r>
      <w:r>
        <w:rPr>
          <w:rStyle w:val="CharStyle58"/>
          <w:color w:val="464648"/>
        </w:rPr>
        <w:t xml:space="preserve">(Extérieur! Suivi de l'AFT</w:t>
      </w:r>
    </w:p>
    <w:p>
      <w:pPr>
        <w:pStyle w:val="Style57"/>
        <w:keepNext w:val="0"/>
        <w:keepLines w:val="0"/>
        <w:widowControl w:val="0"/>
        <w:shd w:val="clear" w:color="auto" w:fill="auto"/>
        <w:spacing w:before="0" w:after="140" w:line="290" w:lineRule="auto"/>
        <w:ind w:left="0" w:right="0" w:firstLine="800"/>
        <w:jc w:val="left"/>
      </w:pPr>
      <w:r>
        <w:rPr>
          <w:rStyle w:val="CharStyle58"/>
          <w:color w:val="303030"/>
        </w:rPr>
        <w:t xml:space="preserve">Bonsoir, </w:t>
      </w:r>
      <w:r>
        <w:rPr>
          <w:rStyle w:val="CharStyle58"/>
          <w:color w:val="464648"/>
        </w:rPr>
        <w:t xml:space="preserve">chers collègues:</w:t>
      </w:r>
    </w:p>
    <w:p>
      <w:pPr>
        <w:pStyle w:val="Style57"/>
        <w:keepNext w:val="0"/>
        <w:keepLines w:val="0"/>
        <w:widowControl w:val="0"/>
        <w:shd w:val="clear" w:color="auto" w:fill="auto"/>
        <w:spacing w:before="0" w:after="140" w:line="293" w:lineRule="auto"/>
        <w:ind w:left="800" w:right="0" w:firstLine="0"/>
        <w:jc w:val="left"/>
      </w:pPr>
      <w:r>
        <w:rPr>
          <w:rStyle w:val="CharStyle58"/>
          <w:color w:val="464648"/>
        </w:rPr>
        <w:t xml:space="preserve">Merci encore pour la </w:t>
      </w:r>
      <w:r>
        <w:rPr>
          <w:rStyle w:val="CharStyle58"/>
          <w:color w:val="303030"/>
        </w:rPr>
        <w:t xml:space="preserve">riche discussion de vendredi sur les </w:t>
      </w:r>
      <w:r>
        <w:rPr>
          <w:rStyle w:val="CharStyle58"/>
          <w:color w:val="464648"/>
        </w:rPr>
        <w:t xml:space="preserve">orientations à venir de la CDC </w:t>
      </w:r>
      <w:r>
        <w:rPr>
          <w:rStyle w:val="CharStyle58"/>
          <w:color w:val="303030"/>
        </w:rPr>
        <w:t xml:space="preserve">et pour </w:t>
      </w:r>
      <w:r>
        <w:rPr>
          <w:rStyle w:val="CharStyle58"/>
          <w:color w:val="464648"/>
        </w:rPr>
        <w:t xml:space="preserve">votre ouverture aux </w:t>
      </w:r>
      <w:r>
        <w:rPr>
          <w:rStyle w:val="CharStyle58"/>
          <w:color w:val="303030"/>
        </w:rPr>
        <w:t xml:space="preserve">suggestions </w:t>
      </w:r>
      <w:r>
        <w:rPr>
          <w:rStyle w:val="CharStyle58"/>
          <w:color w:val="464648"/>
        </w:rPr>
        <w:t xml:space="preserve">faites </w:t>
      </w:r>
      <w:r>
        <w:rPr>
          <w:rStyle w:val="CharStyle58"/>
          <w:color w:val="303030"/>
        </w:rPr>
        <w:t xml:space="preserve">par notre </w:t>
      </w:r>
      <w:r>
        <w:rPr>
          <w:rStyle w:val="CharStyle58"/>
          <w:color w:val="464648"/>
        </w:rPr>
        <w:t xml:space="preserve">président, Randi Weingarten, et l'AFT. Nous espérons que les voies de communication resteront ouvertes et que </w:t>
      </w:r>
      <w:r>
        <w:rPr>
          <w:rStyle w:val="CharStyle58"/>
          <w:color w:val="303030"/>
        </w:rPr>
        <w:t xml:space="preserve">nous </w:t>
      </w:r>
      <w:r>
        <w:rPr>
          <w:rStyle w:val="CharStyle58"/>
          <w:color w:val="464648"/>
        </w:rPr>
        <w:t xml:space="preserve">pourrons servir </w:t>
      </w:r>
      <w:r>
        <w:rPr>
          <w:rStyle w:val="CharStyle58"/>
          <w:color w:val="303030"/>
        </w:rPr>
        <w:t xml:space="preserve">de </w:t>
      </w:r>
      <w:r>
        <w:rPr>
          <w:rStyle w:val="CharStyle58"/>
          <w:color w:val="464648"/>
        </w:rPr>
        <w:t xml:space="preserve">véritable </w:t>
      </w:r>
      <w:r>
        <w:rPr>
          <w:rStyle w:val="CharStyle58"/>
          <w:color w:val="303030"/>
        </w:rPr>
        <w:t xml:space="preserve">partenaire </w:t>
      </w:r>
      <w:r>
        <w:rPr>
          <w:rStyle w:val="CharStyle58"/>
          <w:color w:val="464648"/>
        </w:rPr>
        <w:t xml:space="preserve">de réflexion alors que vous poursuivez l'important </w:t>
      </w:r>
      <w:r>
        <w:rPr>
          <w:rStyle w:val="CharStyle58"/>
          <w:color w:val="303030"/>
        </w:rPr>
        <w:t xml:space="preserve">travail en vue </w:t>
      </w:r>
      <w:r>
        <w:rPr>
          <w:rStyle w:val="CharStyle58"/>
          <w:color w:val="464648"/>
        </w:rPr>
        <w:t xml:space="preserve"> </w:t>
      </w:r>
      <w:r>
        <w:rPr>
          <w:rStyle w:val="CharStyle58"/>
          <w:color w:val="303030"/>
        </w:rPr>
        <w:t xml:space="preserve">de la réouverture sécuritaire des </w:t>
      </w:r>
      <w:r>
        <w:rPr>
          <w:rStyle w:val="CharStyle58"/>
          <w:color w:val="464648"/>
        </w:rPr>
        <w:t>écoles.</w:t>
      </w:r>
    </w:p>
    <w:p>
      <w:pPr>
        <w:pStyle w:val="Style57"/>
        <w:keepNext w:val="0"/>
        <w:keepLines w:val="0"/>
        <w:widowControl w:val="0"/>
        <w:shd w:val="clear" w:color="auto" w:fill="auto"/>
        <w:spacing w:before="0" w:after="420" w:line="288" w:lineRule="auto"/>
        <w:ind w:left="800" w:right="0" w:firstLine="0"/>
        <w:jc w:val="left"/>
      </w:pPr>
      <w:r>
        <w:rPr>
          <w:rStyle w:val="CharStyle58"/>
          <w:color w:val="464648"/>
        </w:rPr>
        <w:t xml:space="preserve">Vous vous souviendrez que Randi s'est engagé à fournir au Dr Walensky et au groupe un libellé suggéré sur la question des mesures d'adaptation </w:t>
      </w:r>
      <w:r>
        <w:rPr>
          <w:rStyle w:val="CharStyle58"/>
          <w:color w:val="303030"/>
        </w:rPr>
        <w:t xml:space="preserve">pour </w:t>
      </w:r>
      <w:r>
        <w:rPr>
          <w:rStyle w:val="CharStyle58"/>
          <w:color w:val="464648"/>
        </w:rPr>
        <w:t xml:space="preserve">les membres du personnel </w:t>
      </w:r>
      <w:r>
        <w:rPr>
          <w:rStyle w:val="CharStyle58"/>
          <w:color w:val="303030"/>
        </w:rPr>
        <w:t xml:space="preserve">qui sont eux-mêmes </w:t>
      </w:r>
      <w:r>
        <w:rPr>
          <w:rStyle w:val="CharStyle58"/>
          <w:color w:val="464648"/>
        </w:rPr>
        <w:t xml:space="preserve"> </w:t>
      </w:r>
      <w:r>
        <w:rPr>
          <w:rStyle w:val="CharStyle58"/>
          <w:color w:val="303030"/>
        </w:rPr>
        <w:t xml:space="preserve">dans </w:t>
      </w:r>
      <w:r>
        <w:rPr>
          <w:rStyle w:val="CharStyle58"/>
          <w:color w:val="464648"/>
        </w:rPr>
        <w:t xml:space="preserve">la catégorie à risque élevé ou </w:t>
      </w:r>
      <w:r>
        <w:rPr>
          <w:rStyle w:val="CharStyle58"/>
          <w:color w:val="303030"/>
        </w:rPr>
        <w:t xml:space="preserve">pour </w:t>
      </w:r>
      <w:r>
        <w:rPr>
          <w:rStyle w:val="CharStyle58"/>
          <w:color w:val="464648"/>
        </w:rPr>
        <w:t xml:space="preserve">ceux </w:t>
      </w:r>
      <w:r>
        <w:rPr>
          <w:rStyle w:val="CharStyle58"/>
          <w:color w:val="303030"/>
        </w:rPr>
        <w:t xml:space="preserve">qui résident avec une personne à risque élevé. </w:t>
      </w:r>
      <w:r>
        <w:rPr>
          <w:rStyle w:val="CharStyle58"/>
          <w:color w:val="464648"/>
        </w:rPr>
        <w:t xml:space="preserve"> </w:t>
      </w:r>
      <w:r>
        <w:rPr>
          <w:rStyle w:val="CharStyle58"/>
          <w:color w:val="303030"/>
        </w:rPr>
        <w:t xml:space="preserve">Nous avons </w:t>
      </w:r>
      <w:r>
        <w:rPr>
          <w:rStyle w:val="CharStyle58"/>
          <w:color w:val="464648"/>
        </w:rPr>
        <w:t xml:space="preserve">conçu la </w:t>
      </w:r>
      <w:r>
        <w:rPr>
          <w:rStyle w:val="CharStyle58"/>
          <w:color w:val="303030"/>
        </w:rPr>
        <w:t xml:space="preserve">langue ci-dessous </w:t>
      </w:r>
      <w:r>
        <w:rPr>
          <w:rStyle w:val="CharStyle58"/>
          <w:color w:val="464648"/>
        </w:rPr>
        <w:t xml:space="preserve">à l'aide d'un document NIOSH, </w:t>
      </w:r>
      <w:r>
        <w:rPr>
          <w:rStyle w:val="CharStyle58"/>
          <w:color w:val="303030"/>
        </w:rPr>
        <w:t xml:space="preserve">ainsi que </w:t>
      </w:r>
      <w:r>
        <w:rPr>
          <w:rStyle w:val="CharStyle58"/>
          <w:color w:val="464648"/>
        </w:rPr>
        <w:t xml:space="preserve">la langue dans </w:t>
      </w:r>
      <w:r>
        <w:rPr>
          <w:rStyle w:val="CharStyle58"/>
          <w:color w:val="303030"/>
        </w:rPr>
        <w:t xml:space="preserve">certains de nos accords </w:t>
      </w:r>
      <w:r>
        <w:rPr>
          <w:rStyle w:val="CharStyle58"/>
          <w:color w:val="464648"/>
        </w:rPr>
        <w:t xml:space="preserve">avec les employeurs de l'école. Merci </w:t>
      </w:r>
      <w:r>
        <w:rPr>
          <w:rStyle w:val="CharStyle58"/>
          <w:color w:val="303030"/>
        </w:rPr>
        <w:t xml:space="preserve">d'y </w:t>
      </w:r>
      <w:r>
        <w:rPr>
          <w:rStyle w:val="CharStyle58"/>
          <w:color w:val="464648"/>
        </w:rPr>
        <w:t xml:space="preserve">avoir pensé.</w:t>
      </w:r>
    </w:p>
    <w:p>
      <w:pPr>
        <w:pStyle w:val="Style57"/>
        <w:keepNext w:val="0"/>
        <w:keepLines w:val="0"/>
        <w:widowControl w:val="0"/>
        <w:shd w:val="clear" w:color="auto" w:fill="auto"/>
        <w:spacing w:before="0" w:after="140" w:line="286" w:lineRule="auto"/>
        <w:ind w:left="860" w:right="0" w:firstLine="0"/>
        <w:jc w:val="left"/>
      </w:pPr>
      <w:r>
        <w:rPr>
          <w:rStyle w:val="CharStyle58"/>
          <w:color w:val="000000"/>
        </w:rPr>
        <w:t xml:space="preserve">• </w:t>
      </w:r>
      <w:r>
        <w:rPr>
          <w:rStyle w:val="CharStyle58"/>
          <w:color w:val="464648"/>
        </w:rPr>
        <w:t xml:space="preserve">Les employeurs devraient prévoir la réaffectation, le travail à distance ou d’autres options </w:t>
      </w:r>
      <w:r>
        <w:rPr>
          <w:rStyle w:val="CharStyle58"/>
          <w:color w:val="303030"/>
        </w:rPr>
        <w:t xml:space="preserve">pour le </w:t>
      </w:r>
      <w:r>
        <w:rPr>
          <w:rStyle w:val="CharStyle58"/>
          <w:color w:val="464648"/>
        </w:rPr>
        <w:t xml:space="preserve">personnel qui a documenté des conditions</w:t>
      </w:r>
      <w:r>
        <w:rPr>
          <w:rStyle w:val="CharStyle58"/>
          <w:color w:val="464648"/>
        </w:rPr>
        <w:t xml:space="preserve">à haut risque ou </w:t>
      </w:r>
      <w:r>
        <w:rPr>
          <w:rStyle w:val="CharStyle58"/>
          <w:color w:val="303030"/>
        </w:rPr>
        <w:t xml:space="preserve">qui présente </w:t>
      </w:r>
      <w:r>
        <w:rPr>
          <w:rStyle w:val="CharStyle58"/>
          <w:color w:val="464648"/>
        </w:rPr>
        <w:t xml:space="preserve">un risque accru de maladie grave due à la COVID-19</w:t>
      </w:r>
      <w:r>
        <w:rPr>
          <w:rStyle w:val="CharStyle58"/>
          <w:color w:val="303030"/>
        </w:rPr>
        <w:t xml:space="preserve">afin </w:t>
      </w:r>
      <w:r>
        <w:rPr>
          <w:rStyle w:val="CharStyle58"/>
          <w:color w:val="464648"/>
        </w:rPr>
        <w:t xml:space="preserve">de </w:t>
      </w:r>
      <w:r>
        <w:rPr>
          <w:rStyle w:val="CharStyle58"/>
          <w:color w:val="464648"/>
        </w:rPr>
        <w:t xml:space="preserve">limiter le risque</w:t>
      </w:r>
      <w:r>
        <w:rPr>
          <w:rStyle w:val="CharStyle58"/>
          <w:color w:val="303030"/>
        </w:rPr>
        <w:t>d’exposition</w:t>
      </w:r>
      <w:r>
        <w:rPr>
          <w:rStyle w:val="CharStyle58"/>
          <w:color w:val="464648"/>
        </w:rPr>
        <w:t xml:space="preserve">sur le </w:t>
      </w:r>
      <w:r>
        <w:rPr>
          <w:rStyle w:val="CharStyle58"/>
          <w:color w:val="303030"/>
        </w:rPr>
        <w:t xml:space="preserve">lieu de </w:t>
      </w:r>
      <w:r>
        <w:rPr>
          <w:rStyle w:val="CharStyle58"/>
          <w:color w:val="464648"/>
        </w:rPr>
        <w:t xml:space="preserve">travail. Les options </w:t>
      </w:r>
      <w:r>
        <w:rPr>
          <w:rStyle w:val="CharStyle58"/>
          <w:color w:val="303030"/>
        </w:rPr>
        <w:t xml:space="preserve">de réaffectation</w:t>
      </w:r>
      <w:r>
        <w:rPr>
          <w:rStyle w:val="CharStyle58"/>
          <w:color w:val="464648"/>
        </w:rPr>
        <w:t xml:space="preserve">comprennent le </w:t>
      </w:r>
      <w:r>
        <w:rPr>
          <w:rStyle w:val="CharStyle58"/>
          <w:color w:val="303030"/>
        </w:rPr>
        <w:t xml:space="preserve"> </w:t>
      </w:r>
      <w:r>
        <w:rPr>
          <w:rStyle w:val="CharStyle58"/>
          <w:color w:val="303030"/>
        </w:rPr>
        <w:t xml:space="preserve">télétravail, </w:t>
      </w:r>
      <w:r>
        <w:rPr>
          <w:rStyle w:val="CharStyle58"/>
          <w:color w:val="464648"/>
        </w:rPr>
        <w:t xml:space="preserve">les possibilités d'enseignement virtuel, les </w:t>
      </w:r>
      <w:r>
        <w:rPr>
          <w:rStyle w:val="CharStyle58"/>
          <w:color w:val="464648"/>
        </w:rPr>
        <w:t xml:space="preserve">responsabilités professionnelles</w:t>
      </w:r>
      <w:r>
        <w:rPr>
          <w:rStyle w:val="CharStyle58"/>
          <w:color w:val="303030"/>
        </w:rPr>
        <w:t xml:space="preserve">modifiées, </w:t>
      </w:r>
      <w:r>
        <w:rPr>
          <w:rStyle w:val="CharStyle58"/>
          <w:color w:val="464648"/>
        </w:rPr>
        <w:t xml:space="preserve">les modifications environnementales, la flexibilité de l'horaire ou </w:t>
      </w:r>
      <w:r>
        <w:rPr>
          <w:rStyle w:val="CharStyle58"/>
          <w:color w:val="000000"/>
        </w:rPr>
        <w:t>la</w:t>
      </w:r>
      <w:r>
        <w:rPr>
          <w:rStyle w:val="CharStyle58"/>
          <w:color w:val="464648"/>
        </w:rPr>
        <w:t>réaffectation</w:t>
      </w:r>
      <w:r>
        <w:rPr>
          <w:rStyle w:val="CharStyle58"/>
          <w:color w:val="303030"/>
        </w:rPr>
        <w:t xml:space="preserve">temporaire </w:t>
      </w:r>
      <w:r>
        <w:rPr>
          <w:rStyle w:val="CharStyle58"/>
          <w:color w:val="464648"/>
        </w:rPr>
        <w:t xml:space="preserve">à différentes responsabilités professionnelles. Ces options devraient </w:t>
      </w:r>
      <w:r>
        <w:rPr>
          <w:rStyle w:val="CharStyle58"/>
          <w:color w:val="303030"/>
        </w:rPr>
        <w:t xml:space="preserve">également </w:t>
      </w:r>
      <w:r>
        <w:rPr>
          <w:rStyle w:val="CharStyle58"/>
          <w:color w:val="464648"/>
        </w:rPr>
        <w:t>être</w:t>
      </w:r>
      <w:r>
        <w:rPr>
          <w:rStyle w:val="CharStyle58"/>
          <w:color w:val="303030"/>
        </w:rPr>
        <w:t xml:space="preserve">étendues </w:t>
      </w:r>
      <w:r>
        <w:rPr>
          <w:rStyle w:val="CharStyle58"/>
          <w:color w:val="464648"/>
        </w:rPr>
        <w:t xml:space="preserve"> </w:t>
      </w:r>
      <w:r>
        <w:rPr>
          <w:rStyle w:val="CharStyle58"/>
          <w:color w:val="464648"/>
        </w:rPr>
        <w:t xml:space="preserve">aux </w:t>
      </w:r>
      <w:r>
        <w:rPr>
          <w:rStyle w:val="CharStyle58"/>
          <w:color w:val="303030"/>
        </w:rPr>
        <w:t xml:space="preserve">membres du personnel </w:t>
      </w:r>
      <w:r>
        <w:rPr>
          <w:rStyle w:val="CharStyle58"/>
          <w:color w:val="464648"/>
        </w:rPr>
        <w:t xml:space="preserve">qui </w:t>
      </w:r>
      <w:r>
        <w:rPr>
          <w:rStyle w:val="CharStyle58"/>
          <w:color w:val="303030"/>
        </w:rPr>
        <w:t xml:space="preserve">ont </w:t>
      </w:r>
      <w:r>
        <w:rPr>
          <w:rStyle w:val="CharStyle58"/>
          <w:color w:val="464648"/>
        </w:rPr>
        <w:t xml:space="preserve">un membre du ménage présentant des documents attestant d’une affection à haut risque</w:t>
      </w:r>
      <w:r>
        <w:rPr>
          <w:rStyle w:val="CharStyle58"/>
          <w:color w:val="303030"/>
        </w:rPr>
        <w:t xml:space="preserve">ou </w:t>
      </w:r>
      <w:r>
        <w:rPr>
          <w:rStyle w:val="CharStyle58"/>
          <w:color w:val="464648"/>
        </w:rPr>
        <w:t xml:space="preserve">qui présentent un </w:t>
      </w:r>
      <w:r>
        <w:rPr>
          <w:rStyle w:val="CharStyle58"/>
          <w:color w:val="464648"/>
        </w:rPr>
        <w:t xml:space="preserve">risque accru de maladie grave due à la COVID-19. Les politiques et procédures portant sur les questions liées </w:t>
      </w:r>
      <w:r>
        <w:rPr>
          <w:rStyle w:val="CharStyle58"/>
          <w:color w:val="303030"/>
        </w:rPr>
        <w:t xml:space="preserve">aux </w:t>
      </w:r>
      <w:r>
        <w:rPr>
          <w:rStyle w:val="CharStyle58"/>
          <w:color w:val="464648"/>
        </w:rPr>
        <w:t xml:space="preserve">enseignants et</w:t>
      </w:r>
      <w:r>
        <w:rPr>
          <w:rStyle w:val="CharStyle58"/>
          <w:color w:val="303030"/>
        </w:rPr>
        <w:t xml:space="preserve">aux autres </w:t>
      </w:r>
      <w:r>
        <w:rPr>
          <w:rStyle w:val="CharStyle58"/>
          <w:color w:val="464648"/>
        </w:rPr>
        <w:t xml:space="preserve">membres du personnel exposés à </w:t>
      </w:r>
      <w:r>
        <w:rPr>
          <w:rStyle w:val="CharStyle58"/>
          <w:color w:val="464648"/>
        </w:rPr>
        <w:t xml:space="preserve">un risque plus élevé de maladie grave devraient être élaborées </w:t>
      </w:r>
      <w:r>
        <w:rPr>
          <w:rStyle w:val="CharStyle58"/>
          <w:color w:val="303030"/>
        </w:rPr>
        <w:t xml:space="preserve">en </w:t>
      </w:r>
      <w:r>
        <w:rPr>
          <w:rStyle w:val="CharStyle58"/>
          <w:color w:val="464648"/>
        </w:rPr>
        <w:t xml:space="preserve">consultation avec les professionnels de la médecine du travail et des ressources humaines, </w:t>
      </w:r>
      <w:r>
        <w:rPr>
          <w:rStyle w:val="CharStyle58"/>
          <w:color w:val="464648"/>
        </w:rPr>
        <w:t>en</w:t>
      </w:r>
      <w:r>
        <w:rPr>
          <w:rStyle w:val="CharStyle58"/>
          <w:color w:val="303030"/>
        </w:rPr>
        <w:t xml:space="preserve">gardant </w:t>
      </w:r>
      <w:r>
        <w:rPr>
          <w:rStyle w:val="CharStyle58"/>
          <w:color w:val="464648"/>
        </w:rPr>
        <w:t>à</w:t>
      </w:r>
      <w:r>
        <w:rPr>
          <w:rStyle w:val="CharStyle58"/>
          <w:color w:val="464648"/>
        </w:rPr>
        <w:t xml:space="preserve">l'esprit les</w:t>
      </w:r>
      <w:r>
        <w:rPr>
          <w:rStyle w:val="CharStyle58"/>
          <w:color w:val="303030"/>
        </w:rPr>
        <w:t xml:space="preserve">préoccupations relatives</w:t>
      </w:r>
      <w:r>
        <w:rPr>
          <w:rStyle w:val="CharStyle58"/>
          <w:color w:val="464648"/>
        </w:rPr>
        <w:t xml:space="preserve"> à l'égalité</w:t>
      </w:r>
      <w:r>
        <w:rPr>
          <w:rStyle w:val="CharStyle58"/>
          <w:color w:val="303030"/>
        </w:rPr>
        <w:t xml:space="preserve"> </w:t>
      </w:r>
      <w:r>
        <w:rPr>
          <w:rStyle w:val="CharStyle58"/>
          <w:color w:val="303030"/>
        </w:rPr>
        <w:t xml:space="preserve">des chances en </w:t>
      </w:r>
      <w:r>
        <w:rPr>
          <w:rStyle w:val="CharStyle58"/>
          <w:color w:val="464648"/>
        </w:rPr>
        <w:t xml:space="preserve">matière d'emploi. </w:t>
      </w:r>
      <w:r>
        <w:rPr>
          <w:rStyle w:val="CharStyle58"/>
          <w:color w:val="464648"/>
        </w:rPr>
        <w:t xml:space="preserve"> </w:t>
      </w:r>
      <w:r>
        <w:rPr>
          <w:rStyle w:val="CharStyle58"/>
          <w:color w:val="464648"/>
        </w:rPr>
        <w:t xml:space="preserve"> </w:t>
      </w:r>
    </w:p>
    <w:p>
      <w:pPr>
        <w:pStyle w:val="Style57"/>
        <w:keepNext w:val="0"/>
        <w:keepLines w:val="0"/>
        <w:widowControl w:val="0"/>
        <w:shd w:val="clear" w:color="auto" w:fill="auto"/>
        <w:spacing w:before="0" w:after="140" w:line="283" w:lineRule="auto"/>
        <w:ind w:left="860" w:right="0" w:firstLine="0"/>
        <w:jc w:val="left"/>
      </w:pPr>
      <w:r>
        <w:rPr>
          <w:rStyle w:val="CharStyle58"/>
          <w:color w:val="464648"/>
        </w:rPr>
        <w:t xml:space="preserve">Enfin, nous avons pu </w:t>
      </w:r>
      <w:r>
        <w:rPr>
          <w:rStyle w:val="CharStyle58"/>
          <w:color w:val="303030"/>
        </w:rPr>
        <w:t xml:space="preserve">examiner </w:t>
      </w:r>
      <w:r>
        <w:rPr>
          <w:rStyle w:val="CharStyle58"/>
          <w:color w:val="464648"/>
        </w:rPr>
        <w:t xml:space="preserve"> </w:t>
      </w:r>
      <w:r>
        <w:rPr>
          <w:rStyle w:val="CharStyle58"/>
          <w:color w:val="303030"/>
        </w:rPr>
        <w:t xml:space="preserve">une </w:t>
      </w:r>
      <w:r>
        <w:rPr>
          <w:rStyle w:val="CharStyle58"/>
          <w:color w:val="464648"/>
        </w:rPr>
        <w:t xml:space="preserve">copie de l'ébauche </w:t>
      </w:r>
      <w:r>
        <w:rPr>
          <w:rStyle w:val="CharStyle58"/>
          <w:color w:val="303030"/>
        </w:rPr>
        <w:t xml:space="preserve"> </w:t>
      </w:r>
      <w:r>
        <w:rPr>
          <w:rStyle w:val="CharStyle58"/>
          <w:color w:val="464648"/>
        </w:rPr>
        <w:t xml:space="preserve">du document d'orientation au cours de la fin de semaine </w:t>
      </w:r>
      <w:r>
        <w:rPr>
          <w:rStyle w:val="CharStyle58"/>
          <w:color w:val="303030"/>
        </w:rPr>
        <w:t xml:space="preserve">et </w:t>
      </w:r>
      <w:r>
        <w:rPr>
          <w:rStyle w:val="CharStyle58"/>
          <w:color w:val="464648"/>
        </w:rPr>
        <w:t xml:space="preserve">nous avons été en mesure de fournir </w:t>
      </w:r>
      <w:r>
        <w:rPr>
          <w:rStyle w:val="CharStyle58"/>
          <w:color w:val="303030"/>
        </w:rPr>
        <w:t xml:space="preserve">quelques </w:t>
      </w:r>
      <w:r>
        <w:rPr>
          <w:rStyle w:val="CharStyle58"/>
          <w:color w:val="464648"/>
        </w:rPr>
        <w:t xml:space="preserve"> </w:t>
      </w:r>
      <w:r>
        <w:rPr>
          <w:rStyle w:val="CharStyle58"/>
          <w:color w:val="303030"/>
        </w:rPr>
        <w:t xml:space="preserve">commentaires </w:t>
      </w:r>
      <w:r>
        <w:rPr>
          <w:rStyle w:val="CharStyle58"/>
          <w:color w:val="464648"/>
        </w:rPr>
        <w:t xml:space="preserve">initiaux à plusieurs membres du personnel ce matin sur les moyens possibles de renforcer le document. </w:t>
      </w:r>
      <w:r>
        <w:rPr>
          <w:rStyle w:val="CharStyle58"/>
          <w:color w:val="303030"/>
        </w:rPr>
        <w:t xml:space="preserve">Nous </w:t>
      </w:r>
      <w:r>
        <w:rPr>
          <w:rStyle w:val="CharStyle58"/>
          <w:color w:val="464648"/>
        </w:rPr>
        <w:t xml:space="preserve">sommes reconnaissants des efforts déployés par l'organisme pour </w:t>
      </w:r>
      <w:r>
        <w:rPr>
          <w:rStyle w:val="CharStyle58"/>
          <w:color w:val="303030"/>
        </w:rPr>
        <w:t xml:space="preserve">apporter </w:t>
      </w:r>
      <w:r>
        <w:rPr>
          <w:rStyle w:val="CharStyle58"/>
          <w:color w:val="464648"/>
        </w:rPr>
        <w:t xml:space="preserve">une certaine mesure d'organisation </w:t>
      </w:r>
      <w:r>
        <w:rPr>
          <w:rStyle w:val="CharStyle58"/>
          <w:color w:val="303030"/>
        </w:rPr>
        <w:t xml:space="preserve">et </w:t>
      </w:r>
      <w:r>
        <w:rPr>
          <w:rStyle w:val="CharStyle58"/>
          <w:color w:val="464648"/>
        </w:rPr>
        <w:t xml:space="preserve">de cadre </w:t>
      </w:r>
      <w:r>
        <w:rPr>
          <w:rStyle w:val="CharStyle58"/>
          <w:color w:val="303030"/>
        </w:rPr>
        <w:t xml:space="preserve">à l'orientation. </w:t>
      </w:r>
      <w:r>
        <w:rPr>
          <w:rStyle w:val="CharStyle58"/>
          <w:color w:val="464648"/>
        </w:rPr>
        <w:t xml:space="preserve"> Nous sommes également reconnaissants de l'inclusion </w:t>
      </w:r>
      <w:r>
        <w:rPr>
          <w:rStyle w:val="CharStyle58"/>
          <w:color w:val="303030"/>
        </w:rPr>
        <w:t xml:space="preserve">de </w:t>
      </w:r>
      <w:r>
        <w:rPr>
          <w:rStyle w:val="CharStyle58"/>
          <w:color w:val="464648"/>
        </w:rPr>
        <w:t xml:space="preserve">certains </w:t>
      </w:r>
      <w:r>
        <w:rPr>
          <w:rStyle w:val="CharStyle58"/>
          <w:color w:val="303030"/>
        </w:rPr>
        <w:t xml:space="preserve">des </w:t>
      </w:r>
      <w:r>
        <w:rPr>
          <w:rStyle w:val="CharStyle58"/>
          <w:color w:val="464648"/>
        </w:rPr>
        <w:t xml:space="preserve"> </w:t>
      </w:r>
      <w:r>
        <w:rPr>
          <w:rStyle w:val="CharStyle58"/>
          <w:color w:val="303030"/>
        </w:rPr>
        <w:t xml:space="preserve">efforts d'atténuation que nous réclamons </w:t>
      </w:r>
      <w:r>
        <w:rPr>
          <w:rStyle w:val="CharStyle58"/>
          <w:color w:val="464648"/>
        </w:rPr>
        <w:t xml:space="preserve">depuis l'année dernière. </w:t>
      </w:r>
      <w:r>
        <w:rPr>
          <w:rStyle w:val="CharStyle58"/>
          <w:color w:val="000000"/>
        </w:rPr>
        <w:t xml:space="preserve">Nous </w:t>
      </w:r>
      <w:r>
        <w:rPr>
          <w:rStyle w:val="CharStyle58"/>
          <w:color w:val="464648"/>
        </w:rPr>
        <w:t xml:space="preserve">espérons pouvoir </w:t>
      </w:r>
      <w:r>
        <w:rPr>
          <w:rStyle w:val="CharStyle58"/>
          <w:color w:val="303030"/>
        </w:rPr>
        <w:t xml:space="preserve"> </w:t>
      </w:r>
      <w:r>
        <w:rPr>
          <w:rStyle w:val="CharStyle58"/>
          <w:color w:val="303030"/>
        </w:rPr>
        <w:t xml:space="preserve">nous engager </w:t>
      </w:r>
      <w:r>
        <w:rPr>
          <w:rStyle w:val="CharStyle58"/>
          <w:color w:val="303030"/>
        </w:rPr>
        <w:t xml:space="preserve"> </w:t>
      </w:r>
      <w:r>
        <w:rPr>
          <w:rStyle w:val="CharStyle58"/>
          <w:color w:val="464648"/>
        </w:rPr>
        <w:t xml:space="preserve">tôt dans le processus, car nous pensons que nos expériences sur le terrain peuvent éclairer et enrichir la réflexion sur ce qui est praticable et </w:t>
      </w:r>
      <w:r>
        <w:rPr>
          <w:rStyle w:val="CharStyle58"/>
          <w:color w:val="303030"/>
        </w:rPr>
        <w:t xml:space="preserve">prudent </w:t>
      </w:r>
      <w:r>
        <w:rPr>
          <w:rStyle w:val="CharStyle58"/>
          <w:color w:val="464648"/>
        </w:rPr>
        <w:t xml:space="preserve">dans les futurs documents d'orientation.</w:t>
      </w:r>
    </w:p>
    <w:p>
      <w:pPr>
        <w:pStyle w:val="Style57"/>
        <w:keepNext w:val="0"/>
        <w:keepLines w:val="0"/>
        <w:widowControl w:val="0"/>
        <w:shd w:val="clear" w:color="auto" w:fill="auto"/>
        <w:spacing w:before="0" w:after="140" w:line="286" w:lineRule="auto"/>
        <w:ind w:left="0" w:right="0" w:firstLine="860"/>
        <w:jc w:val="left"/>
      </w:pPr>
      <w:r>
        <w:rPr>
          <w:rStyle w:val="CharStyle58"/>
          <w:color w:val="464648"/>
        </w:rPr>
        <w:t xml:space="preserve">N'hésitez </w:t>
      </w:r>
      <w:r>
        <w:rPr>
          <w:rStyle w:val="CharStyle58"/>
          <w:color w:val="303030"/>
        </w:rPr>
        <w:t xml:space="preserve"> </w:t>
      </w:r>
      <w:r>
        <w:rPr>
          <w:rStyle w:val="CharStyle58"/>
          <w:color w:val="464648"/>
        </w:rPr>
        <w:t xml:space="preserve">pas </w:t>
      </w:r>
      <w:r>
        <w:rPr>
          <w:rStyle w:val="CharStyle58"/>
          <w:color w:val="303030"/>
        </w:rPr>
        <w:t xml:space="preserve">à nous contacter </w:t>
      </w:r>
      <w:r>
        <w:rPr>
          <w:rStyle w:val="CharStyle58"/>
          <w:color w:val="464648"/>
        </w:rPr>
        <w:t xml:space="preserve"> </w:t>
      </w:r>
      <w:r>
        <w:rPr>
          <w:rStyle w:val="CharStyle58"/>
          <w:color w:val="303030"/>
        </w:rPr>
        <w:t xml:space="preserve">si vous avez </w:t>
      </w:r>
      <w:r>
        <w:rPr>
          <w:rStyle w:val="CharStyle58"/>
          <w:color w:val="464648"/>
        </w:rPr>
        <w:t xml:space="preserve">des questions </w:t>
      </w:r>
      <w:r>
        <w:rPr>
          <w:rStyle w:val="CharStyle58"/>
          <w:color w:val="303030"/>
        </w:rPr>
        <w:t xml:space="preserve">ou </w:t>
      </w:r>
      <w:r>
        <w:rPr>
          <w:rStyle w:val="CharStyle58"/>
          <w:color w:val="464648"/>
        </w:rPr>
        <w:t xml:space="preserve">souhaitez un dialogue supplémentaire.</w:t>
      </w:r>
    </w:p>
    <w:p>
      <w:pPr>
        <w:pStyle w:val="Style57"/>
        <w:keepNext w:val="0"/>
        <w:keepLines w:val="0"/>
        <w:widowControl w:val="0"/>
        <w:shd w:val="clear" w:color="auto" w:fill="auto"/>
        <w:spacing w:before="0" w:after="140" w:line="286" w:lineRule="auto"/>
        <w:ind w:left="0" w:right="0" w:firstLine="860"/>
        <w:jc w:val="left"/>
      </w:pPr>
      <w:r>
        <w:rPr>
          <w:rStyle w:val="CharStyle58"/>
          <w:color w:val="303030"/>
        </w:rPr>
        <w:t xml:space="preserve">Salutations chaleureuses, </w:t>
      </w:r>
    </w:p>
    <w:p>
      <w:pPr>
        <w:pStyle w:val="Style57"/>
        <w:keepNext w:val="0"/>
        <w:keepLines w:val="0"/>
        <w:widowControl w:val="0"/>
        <w:shd w:val="clear" w:color="auto" w:fill="auto"/>
        <w:spacing w:before="0" w:after="320" w:line="286" w:lineRule="auto"/>
        <w:ind w:left="0" w:right="0" w:firstLine="860"/>
        <w:jc w:val="left"/>
      </w:pPr>
      <w:r>
        <w:rPr>
          <w:rStyle w:val="CharStyle58"/>
          <w:color w:val="464648"/>
        </w:rPr>
        <w:t>Kelly</w:t>
      </w:r>
    </w:p>
    <w:p>
      <w:pPr>
        <w:pStyle w:val="Style110"/>
        <w:keepNext w:val="0"/>
        <w:keepLines w:val="0"/>
        <w:widowControl w:val="0"/>
        <w:shd w:val="clear" w:color="auto" w:fill="auto"/>
        <w:spacing w:before="0" w:after="0" w:line="240" w:lineRule="auto"/>
        <w:ind w:left="0" w:right="0" w:firstLine="860"/>
        <w:jc w:val="left"/>
        <w:rPr>
          <w:sz w:val="16"/>
        </w:rPr>
      </w:pPr>
      <w:r>
        <w:rPr>
          <w:rStyle w:val="CharStyle111"/>
          <w:color w:val="303030"/>
          <w:sz w:val="16"/>
        </w:rPr>
        <w:t xml:space="preserve">Kelly D. Trautncr</w:t>
      </w:r>
    </w:p>
    <w:p>
      <w:pPr>
        <w:pStyle w:val="Style110"/>
        <w:keepNext w:val="0"/>
        <w:keepLines w:val="0"/>
        <w:widowControl w:val="0"/>
        <w:shd w:val="clear" w:color="auto" w:fill="auto"/>
        <w:spacing w:before="0" w:after="0" w:line="240" w:lineRule="auto"/>
        <w:ind w:left="0" w:right="0" w:firstLine="860"/>
        <w:jc w:val="left"/>
        <w:rPr>
          <w:sz w:val="16"/>
        </w:rPr>
      </w:pPr>
      <w:r>
        <w:rPr>
          <w:rStyle w:val="CharStyle111"/>
          <w:sz w:val="16"/>
        </w:rPr>
        <w:t xml:space="preserve">Directeur I Questions de santé</w:t>
      </w:r>
    </w:p>
    <w:p>
      <w:pPr>
        <w:pStyle w:val="Style57"/>
        <w:keepNext w:val="0"/>
        <w:keepLines w:val="0"/>
        <w:widowControl w:val="0"/>
        <w:shd w:val="clear" w:color="auto" w:fill="auto"/>
        <w:tabs>
          <w:tab w:leader="underscore" w:pos="3255" w:val="left"/>
        </w:tabs>
        <w:spacing w:before="0" w:after="320" w:line="240" w:lineRule="auto"/>
        <w:ind w:left="0" w:right="0" w:firstLine="860"/>
        <w:jc w:val="left"/>
      </w:pPr>
      <w:r>
        <w:rPr>
          <w:rStyle w:val="CharStyle58"/>
          <w:i/>
          <w:color w:val="464648"/>
        </w:rPr>
        <w:t xml:space="preserve">(elle/il/elle) </w:t>
      </w:r>
      <w:r>
        <w:rPr>
          <w:rStyle w:val="CharStyle58"/>
          <w:i/>
          <w:color w:val="000000"/>
        </w:rPr>
        <w:t xml:space="preserve"> </w:t>
      </w:r>
    </w:p>
    <w:p>
      <w:pPr>
        <w:pStyle w:val="Style110"/>
        <w:keepNext w:val="0"/>
        <w:keepLines w:val="0"/>
        <w:widowControl w:val="0"/>
        <w:shd w:val="clear" w:color="auto" w:fill="auto"/>
        <w:spacing w:before="0" w:after="0" w:line="240" w:lineRule="auto"/>
        <w:ind w:left="0" w:right="0" w:firstLine="860"/>
        <w:jc w:val="left"/>
        <w:rPr>
          <w:sz w:val="16"/>
        </w:rPr>
      </w:pPr>
      <w:r>
        <w:rPr>
          <w:rStyle w:val="CharStyle111"/>
          <w:sz w:val="16"/>
        </w:rPr>
        <w:t xml:space="preserve">Fédération Américaine des Enseignants, AFL-CIO</w:t>
      </w:r>
    </w:p>
    <w:p>
      <w:pPr>
        <w:pStyle w:val="Style110"/>
        <w:keepNext w:val="0"/>
        <w:keepLines w:val="0"/>
        <w:widowControl w:val="0"/>
        <w:shd w:val="clear" w:color="auto" w:fill="auto"/>
        <w:spacing w:before="0" w:after="320" w:line="226" w:lineRule="auto"/>
        <w:ind w:left="0" w:right="0" w:firstLine="860"/>
        <w:jc w:val="left"/>
        <w:rPr>
          <w:sz w:val="16"/>
        </w:rPr>
      </w:pPr>
      <w:r>
        <w:rPr>
          <w:rStyle w:val="CharStyle111"/>
          <w:sz w:val="16"/>
        </w:rPr>
        <w:t xml:space="preserve">555 New Jersey Ave. N.W. </w:t>
      </w:r>
      <w:r>
        <w:rPr>
          <w:rStyle w:val="CharStyle111"/>
          <w:color w:val="656361"/>
          <w:sz w:val="16"/>
        </w:rPr>
        <w:t xml:space="preserve">| </w:t>
      </w:r>
      <w:r>
        <w:rPr>
          <w:rStyle w:val="CharStyle111"/>
          <w:sz w:val="16"/>
        </w:rPr>
        <w:t xml:space="preserve">Washington, DC 20001</w:t>
      </w:r>
    </w:p>
    <w:p>
      <w:pPr>
        <w:pStyle w:val="Style24"/>
        <w:keepNext w:val="0"/>
        <w:keepLines w:val="0"/>
        <w:widowControl w:val="0"/>
        <w:shd w:val="clear" w:color="auto" w:fill="auto"/>
        <w:spacing w:before="0" w:after="140" w:line="259" w:lineRule="auto"/>
        <w:ind w:left="0" w:right="0" w:firstLine="740"/>
        <w:jc w:val="left"/>
        <w:sectPr>
          <w:footnotePr>
            <w:pos w:val="pageBottom"/>
            <w:numFmt w:val="decimal"/>
            <w:numStart w:val="1448"/>
            <w:numRestart w:val="continuous"/>
            <w15:footnoteColumns w:val="1"/>
          </w:footnotePr>
          <w:pgSz w:w="12485" w:h="16357"/>
          <w:pgMar w:top="1633" w:right="1462" w:bottom="1569" w:left="1432" w:header="1205" w:footer="3" w:gutter="0"/>
          <w:cols w:space="720"/>
          <w:noEndnote/>
          <w:rtlGutter w:val="0"/>
          <w:docGrid w:linePitch="360"/>
        </w:sectPr>
      </w:pPr>
      <w:r>
        <w:rPr>
          <w:rStyle w:val="CharStyle25"/>
        </w:rPr>
        <w:t xml:space="preserve">Le 3 février 2021, le Dr Walensky a répondu à Mme Nedrow (Trautner) pour l’informer que la langue des mesures d’adaptation était «travaillée» dans les orientations.</w:t>
        <w:footnoteReference w:id="276"/>
      </w:r>
    </w:p>
    <w:p>
      <w:pPr>
        <w:pStyle w:val="Style18"/>
        <w:keepNext w:val="0"/>
        <w:keepLines w:val="0"/>
        <w:widowControl w:val="0"/>
        <w:pBdr>
          <w:bottom w:val="single" w:sz="4" w:space="0" w:color="auto"/>
        </w:pBdr>
        <w:shd w:val="clear" w:color="auto" w:fill="auto"/>
        <w:spacing w:before="0" w:line="240" w:lineRule="auto"/>
        <w:ind w:left="0" w:right="0" w:firstLine="760"/>
        <w:jc w:val="left"/>
        <w:rPr>
          <w:sz w:val="12"/>
        </w:rPr>
      </w:pPr>
      <w:r>
        <w:rPr>
          <w:rStyle w:val="CharStyle19"/>
          <w:rFonts w:ascii="Arial" w:hAnsi="Arial" w:cs="Arial" w:eastAsia="Arial"/>
          <w:b/>
          <w:sz w:val="12"/>
        </w:rPr>
        <w:t>Message</w:t>
      </w:r>
    </w:p>
    <w:p>
      <w:pPr>
        <w:pStyle w:val="Style18"/>
        <w:keepNext w:val="0"/>
        <w:keepLines w:val="0"/>
        <w:widowControl w:val="0"/>
        <w:shd w:val="clear" w:color="auto" w:fill="auto"/>
        <w:spacing w:before="0" w:after="160" w:line="317" w:lineRule="auto"/>
        <w:ind w:left="760" w:right="0" w:firstLine="0"/>
        <w:jc w:val="left"/>
        <w:rPr>
          <w:sz w:val="12"/>
        </w:rPr>
      </w:pPr>
      <w:r>
        <w:drawing>
          <wp:anchor distT="0" distB="0" distL="0" distR="0" simplePos="0" relativeHeight="125829423" behindDoc="0" locked="0" layoutInCell="1" allowOverlap="1">
            <wp:simplePos x="0" y="0"/>
            <wp:positionH relativeFrom="page">
              <wp:posOffset>2978150</wp:posOffset>
            </wp:positionH>
            <wp:positionV relativeFrom="paragraph">
              <wp:posOffset>203200</wp:posOffset>
            </wp:positionV>
            <wp:extent cx="3267710" cy="829310"/>
            <wp:wrapTight wrapText="left">
              <wp:wrapPolygon>
                <wp:start x="786" y="0"/>
                <wp:lineTo x="9531" y="0"/>
                <wp:lineTo x="9531" y="6615"/>
                <wp:lineTo x="16401" y="6615"/>
                <wp:lineTo x="16401" y="11079"/>
                <wp:lineTo x="21600" y="11079"/>
                <wp:lineTo x="21600" y="21600"/>
                <wp:lineTo x="15132" y="21600"/>
                <wp:lineTo x="15132" y="18252"/>
                <wp:lineTo x="16401" y="18252"/>
                <wp:lineTo x="16401" y="15383"/>
                <wp:lineTo x="15132" y="15383"/>
                <wp:lineTo x="15132" y="15303"/>
                <wp:lineTo x="11626" y="15303"/>
                <wp:lineTo x="11626" y="12514"/>
                <wp:lineTo x="7294" y="12514"/>
                <wp:lineTo x="7294" y="9246"/>
                <wp:lineTo x="0" y="9246"/>
                <wp:lineTo x="0" y="6058"/>
                <wp:lineTo x="302" y="6058"/>
                <wp:lineTo x="302" y="2949"/>
                <wp:lineTo x="343" y="2949"/>
                <wp:lineTo x="343" y="2869"/>
                <wp:lineTo x="786" y="2869"/>
                <wp:lineTo x="786" y="0"/>
              </wp:wrapPolygon>
            </wp:wrapTight>
            <wp:docPr id="81" name="Forme 81"/>
            <a:graphic xmlns:a="http://schemas.openxmlformats.org/drawingml/2006/main">
              <a:graphicData uri="http://schemas.openxmlformats.org/drawingml/2006/picture">
                <pic:pic xmlns:pic="http://schemas.openxmlformats.org/drawingml/2006/picture">
                  <pic:nvPicPr>
                    <pic:cNvPr id="82" name="Boîte à images 82"/>
                    <pic:cNvPicPr/>
                  </pic:nvPicPr>
                  <pic:blipFill>
                    <a:blip r:embed="rId40"/>
                    <a:stretch/>
                  </pic:blipFill>
                  <pic:spPr>
                    <a:xfrm>
                      <a:ext cx="3267710" cy="829310"/>
                    </a:xfrm>
                    <a:prstGeom prst="rect"/>
                  </pic:spPr>
                </pic:pic>
              </a:graphicData>
            </a:graphic>
          </wp:anchor>
        </w:drawing>
      </w:r>
      <w:r>
        <mc:AlternateContent>
          <mc:Choice Requires="wps">
            <w:drawing>
              <wp:anchor distT="0" distB="0" distL="0" distR="0" simplePos="0" relativeHeight="503316498" behindDoc="0" locked="0" layoutInCell="1" allowOverlap="1">
                <wp:simplePos x="0" y="0"/>
                <wp:positionH relativeFrom="page">
                  <wp:posOffset>4419600</wp:posOffset>
                </wp:positionH>
                <wp:positionV relativeFrom="paragraph">
                  <wp:posOffset>212090</wp:posOffset>
                </wp:positionV>
                <wp:extent cx="1176655" cy="121920"/>
                <wp:wrapNone/>
                <wp:docPr id="83" name="Forme 83"/>
                <a:graphic xmlns:a="http://schemas.openxmlformats.org/drawingml/2006/main">
                  <a:graphicData uri="http://schemas.microsoft.com/office/word/2010/wordprocessingShape">
                    <wps:wsp>
                      <wps:cNvSpPr txBox="1"/>
                      <wps:spPr>
                        <a:xfrm>
                          <a:ext cx="1176655" cy="121920"/>
                        </a:xfrm>
                        <a:prstGeom prst="rect"/>
                        <a:noFill/>
                      </wps:spPr>
                      <wps:txbx>
                        <w:txbxContent>
                          <w:p>
                            <w:pPr>
                              <w:pStyle w:val="Style27"/>
                              <w:keepNext w:val="0"/>
                              <w:keepLines w:val="0"/>
                              <w:widowControl w:val="0"/>
                              <w:shd w:val="clear" w:color="auto" w:fill="auto"/>
                              <w:spacing w:before="0" w:after="0" w:line="240" w:lineRule="auto"/>
                              <w:ind w:left="0" w:right="0" w:firstLine="0"/>
                              <w:jc w:val="right"/>
                              <w:rPr>
                                <w:sz w:val="12"/>
                              </w:rPr>
                            </w:pPr>
                            <w:r>
                              <w:rPr>
                                <w:rStyle w:val="CharStyle28"/>
                                <w:b/>
                                <w:color w:val="000000"/>
                                <w:sz w:val="12"/>
                              </w:rPr>
                              <w:t xml:space="preserve">Berger,Sherri (CDC/OCOO/OD)</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00" behindDoc="0" locked="0" layoutInCell="1" allowOverlap="1">
                <wp:simplePos x="0" y="0"/>
                <wp:positionH relativeFrom="page">
                  <wp:posOffset>5440680</wp:posOffset>
                </wp:positionH>
                <wp:positionV relativeFrom="paragraph">
                  <wp:posOffset>447040</wp:posOffset>
                </wp:positionV>
                <wp:extent cx="149225" cy="103505"/>
                <wp:wrapNone/>
                <wp:docPr id="85" name="Forme 85"/>
                <a:graphic xmlns:a="http://schemas.openxmlformats.org/drawingml/2006/main">
                  <a:graphicData uri="http://schemas.microsoft.com/office/word/2010/wordprocessingShape">
                    <wps:wsp>
                      <wps:cNvSpPr txBox="1"/>
                      <wps:spPr>
                        <a:xfrm>
                          <a:ext cx="149225" cy="103505"/>
                        </a:xfrm>
                        <a:prstGeom prst="rect"/>
                        <a:noFill/>
                      </wps:spPr>
                      <wps:txbx>
                        <w:txbxContent>
                          <w:p>
                            <w:pPr>
                              <w:pStyle w:val="Style27"/>
                              <w:keepNext w:val="0"/>
                              <w:keepLines w:val="0"/>
                              <w:widowControl w:val="0"/>
                              <w:shd w:val="clear" w:color="auto" w:fill="auto"/>
                              <w:spacing w:before="0" w:after="0" w:line="240" w:lineRule="auto"/>
                              <w:ind w:left="0" w:right="0" w:firstLine="0"/>
                              <w:jc w:val="right"/>
                              <w:rPr>
                                <w:sz w:val="12"/>
                              </w:rPr>
                            </w:pPr>
                            <w:r>
                              <w:rPr>
                                <w:rStyle w:val="CharStyle28"/>
                                <w:b/>
                                <w:color w:val="000000"/>
                                <w:sz w:val="12"/>
                              </w:rPr>
                              <w:t>HO</w:t>
                            </w:r>
                          </w:p>
                        </w:txbxContent>
                      </wps:txbx>
                      <wps:bodyPr lIns="0" tIns="0" rIns="0" bIns="0">
                        <a:noAutoFit/>
                      </wps:bodyPr>
                    </wps:wsp>
                  </a:graphicData>
                </a:graphic>
              </wp:anchor>
            </w:drawing>
          </mc:Choice>
        </mc:AlternateContent>
      </w:r>
      <w:r>
        <mc:AlternateContent>
          <mc:Choice Requires="wps">
            <w:drawing>
              <wp:anchor distT="0" distB="0" distL="114300" distR="114300" simplePos="0" relativeHeight="125829424" behindDoc="0" locked="0" layoutInCell="1" allowOverlap="1">
                <wp:simplePos x="0" y="0"/>
                <wp:positionH relativeFrom="page">
                  <wp:posOffset>4194175</wp:posOffset>
                </wp:positionH>
                <wp:positionV relativeFrom="paragraph">
                  <wp:posOffset>444500</wp:posOffset>
                </wp:positionV>
                <wp:extent cx="1161415" cy="106680"/>
                <wp:wrapSquare wrapText="left"/>
                <wp:docPr id="87" name="Forme 87"/>
                <a:graphic xmlns:a="http://schemas.openxmlformats.org/drawingml/2006/main">
                  <a:graphicData uri="http://schemas.microsoft.com/office/word/2010/wordprocessingShape">
                    <wps:wsp>
                      <wps:cNvSpPr txBox="1"/>
                      <wps:spPr>
                        <a:xfrm>
                          <a:ext cx="1161415" cy="106680"/>
                        </a:xfrm>
                        <a:prstGeom prst="rect"/>
                        <a:noFill/>
                      </wps:spPr>
                      <wps:txbx>
                        <w:txbxContent>
                          <w:p>
                            <w:pPr>
                              <w:pStyle w:val="Style18"/>
                              <w:keepNext w:val="0"/>
                              <w:keepLines w:val="0"/>
                              <w:widowControl w:val="0"/>
                              <w:shd w:val="clear" w:color="auto" w:fill="auto"/>
                              <w:spacing w:before="0" w:after="0" w:line="240" w:lineRule="auto"/>
                              <w:ind w:left="0" w:right="0" w:firstLine="0"/>
                              <w:jc w:val="center"/>
                              <w:rPr>
                                <w:sz w:val="12"/>
                              </w:rPr>
                            </w:pPr>
                            <w:r>
                              <w:rPr>
                                <w:rStyle w:val="CharStyle19"/>
                                <w:rFonts w:ascii="Arial" w:hAnsi="Arial" w:cs="Arial" w:eastAsia="Arial"/>
                                <w:b/>
                                <w:sz w:val="12"/>
                              </w:rPr>
                              <w:t xml:space="preserve">Tracev-Moon Maureen EOP</w:t>
                            </w:r>
                          </w:p>
                        </w:txbxContent>
                      </wps:txbx>
                      <wps:bodyPr wrap="none" lIns="0" tIns="0" rIns="0" bIns="0">
                        <a:noAutoFit/>
                      </wps:bodyPr>
                    </wps:wsp>
                  </a:graphicData>
                </a:graphic>
              </wp:anchor>
            </w:drawing>
          </mc:Choice>
        </mc:AlternateContent>
      </w:r>
      <w:r>
        <w:drawing>
          <wp:anchor distT="548640" distB="0" distL="0" distR="0" simplePos="0" relativeHeight="125829426" behindDoc="0" locked="0" layoutInCell="1" allowOverlap="1">
            <wp:simplePos x="0" y="0"/>
            <wp:positionH relativeFrom="page">
              <wp:posOffset>1974850</wp:posOffset>
            </wp:positionH>
            <wp:positionV relativeFrom="paragraph">
              <wp:posOffset>561340</wp:posOffset>
            </wp:positionV>
            <wp:extent cx="2468880" cy="475615"/>
            <wp:wrapTight wrapText="bothSides">
              <wp:wrapPolygon>
                <wp:start x="0" y="0"/>
                <wp:lineTo x="15566" y="0"/>
                <wp:lineTo x="15566" y="1115"/>
                <wp:lineTo x="8571" y="1115"/>
                <wp:lineTo x="8571" y="4320"/>
                <wp:lineTo x="15566" y="4320"/>
                <wp:lineTo x="15566" y="10173"/>
                <wp:lineTo x="21600" y="10173"/>
                <wp:lineTo x="21600" y="15886"/>
                <wp:lineTo x="15299" y="15886"/>
                <wp:lineTo x="15299" y="16165"/>
                <wp:lineTo x="15245" y="16165"/>
                <wp:lineTo x="15245" y="21600"/>
                <wp:lineTo x="8357" y="21600"/>
                <wp:lineTo x="8357" y="14911"/>
                <wp:lineTo x="14071" y="14911"/>
                <wp:lineTo x="14071" y="11566"/>
                <wp:lineTo x="8357" y="11566"/>
                <wp:lineTo x="8357" y="11427"/>
                <wp:lineTo x="3604" y="11427"/>
                <wp:lineTo x="3604" y="9755"/>
                <wp:lineTo x="1495" y="9755"/>
                <wp:lineTo x="1495" y="9615"/>
                <wp:lineTo x="1468" y="9615"/>
                <wp:lineTo x="1468" y="8919"/>
                <wp:lineTo x="1495" y="8919"/>
                <wp:lineTo x="1495" y="6132"/>
                <wp:lineTo x="0" y="6132"/>
                <wp:lineTo x="0" y="0"/>
              </wp:wrapPolygon>
            </wp:wrapTight>
            <wp:docPr id="89" name="Forme 89"/>
            <a:graphic xmlns:a="http://schemas.openxmlformats.org/drawingml/2006/main">
              <a:graphicData uri="http://schemas.openxmlformats.org/drawingml/2006/picture">
                <pic:pic xmlns:pic="http://schemas.openxmlformats.org/drawingml/2006/picture">
                  <pic:nvPicPr>
                    <pic:cNvPr id="90" name="Boîte à images 90"/>
                    <pic:cNvPicPr/>
                  </pic:nvPicPr>
                  <pic:blipFill>
                    <a:blip r:embed="rId42"/>
                    <a:stretch/>
                  </pic:blipFill>
                  <pic:spPr>
                    <a:xfrm>
                      <a:ext cx="2468880" cy="475615"/>
                    </a:xfrm>
                    <a:prstGeom prst="rect"/>
                  </pic:spPr>
                </pic:pic>
              </a:graphicData>
            </a:graphic>
          </wp:anchor>
        </w:drawing>
      </w:r>
      <w:r>
        <mc:AlternateContent>
          <mc:Choice Requires="wps">
            <w:drawing>
              <wp:anchor distT="0" distB="0" distL="0" distR="0" simplePos="0" relativeHeight="503316502" behindDoc="0" locked="0" layoutInCell="1" allowOverlap="1">
                <wp:simplePos x="0" y="0"/>
                <wp:positionH relativeFrom="page">
                  <wp:posOffset>1974850</wp:posOffset>
                </wp:positionH>
                <wp:positionV relativeFrom="paragraph">
                  <wp:posOffset>12700</wp:posOffset>
                </wp:positionV>
                <wp:extent cx="1143000" cy="551815"/>
                <wp:wrapNone/>
                <wp:docPr id="91" name="Forme 91"/>
                <a:graphic xmlns:a="http://schemas.openxmlformats.org/drawingml/2006/main">
                  <a:graphicData uri="http://schemas.microsoft.com/office/word/2010/wordprocessingShape">
                    <wps:wsp>
                      <wps:cNvSpPr txBox="1"/>
                      <wps:spPr>
                        <a:xfrm>
                          <a:ext cx="1143000" cy="551815"/>
                        </a:xfrm>
                        <a:prstGeom prst="rect"/>
                        <a:noFill/>
                      </wps:spPr>
                      <wps:txbx>
                        <w:txbxContent>
                          <w:p>
                            <w:pPr>
                              <w:pStyle w:val="Style27"/>
                              <w:keepNext w:val="0"/>
                              <w:keepLines w:val="0"/>
                              <w:widowControl w:val="0"/>
                              <w:shd w:val="clear" w:color="auto" w:fill="auto"/>
                              <w:spacing w:before="0" w:after="0" w:line="312" w:lineRule="auto"/>
                              <w:ind w:left="0" w:right="0" w:firstLine="0"/>
                              <w:jc w:val="left"/>
                              <w:rPr>
                                <w:sz w:val="12"/>
                              </w:rPr>
                            </w:pPr>
                            <w:r>
                              <w:rPr>
                                <w:rStyle w:val="CharStyle28"/>
                                <w:b/>
                                <w:color w:val="000000"/>
                                <w:sz w:val="12"/>
                              </w:rPr>
                              <w:t xml:space="preserve">Walensky, Rochelle (CDC/OD) 2/3/20215:04:41 PM Johnson, Carole A POE/OMS O’Connell, Dawn (HHS/IOS) Martin, Carmel POE/OMS</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04" behindDoc="0" locked="0" layoutInCell="1" allowOverlap="1">
                <wp:simplePos x="0" y="0"/>
                <wp:positionH relativeFrom="page">
                  <wp:posOffset>2931795</wp:posOffset>
                </wp:positionH>
                <wp:positionV relativeFrom="paragraph">
                  <wp:posOffset>564515</wp:posOffset>
                </wp:positionV>
                <wp:extent cx="1149350" cy="113030"/>
                <wp:wrapNone/>
                <wp:docPr id="93" name="Forme 93"/>
                <a:graphic xmlns:a="http://schemas.openxmlformats.org/drawingml/2006/main">
                  <a:graphicData uri="http://schemas.microsoft.com/office/word/2010/wordprocessingShape">
                    <wps:wsp>
                      <wps:cNvSpPr txBox="1"/>
                      <wps:spPr>
                        <a:xfrm>
                          <a:ext cx="1149350" cy="113030"/>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2"/>
                              </w:rPr>
                            </w:pPr>
                            <w:r>
                              <w:rPr>
                                <w:rStyle w:val="CharStyle28"/>
                                <w:b/>
                                <w:color w:val="000000"/>
                                <w:sz w:val="12"/>
                              </w:rPr>
                              <w:t xml:space="preserve">Mdntee, William T.EOP/OMS</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06" behindDoc="0" locked="0" layoutInCell="1" allowOverlap="1">
                <wp:simplePos x="0" y="0"/>
                <wp:positionH relativeFrom="page">
                  <wp:posOffset>1978025</wp:posOffset>
                </wp:positionH>
                <wp:positionV relativeFrom="paragraph">
                  <wp:posOffset>680085</wp:posOffset>
                </wp:positionV>
                <wp:extent cx="186055" cy="109855"/>
                <wp:wrapNone/>
                <wp:docPr id="95" name="Forme 95"/>
                <a:graphic xmlns:a="http://schemas.openxmlformats.org/drawingml/2006/main">
                  <a:graphicData uri="http://schemas.microsoft.com/office/word/2010/wordprocessingShape">
                    <wps:wsp>
                      <wps:cNvSpPr txBox="1"/>
                      <wps:spPr>
                        <a:xfrm>
                          <a:ext cx="186055" cy="109855"/>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2"/>
                              </w:rPr>
                            </w:pPr>
                            <w:r>
                              <w:rPr>
                                <w:rStyle w:val="CharStyle28"/>
                                <w:b/>
                                <w:color w:val="000000"/>
                                <w:sz w:val="12"/>
                              </w:rPr>
                              <w:t>POE</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08" behindDoc="0" locked="0" layoutInCell="1" allowOverlap="1">
                <wp:simplePos x="0" y="0"/>
                <wp:positionH relativeFrom="page">
                  <wp:posOffset>2249170</wp:posOffset>
                </wp:positionH>
                <wp:positionV relativeFrom="paragraph">
                  <wp:posOffset>680085</wp:posOffset>
                </wp:positionV>
                <wp:extent cx="149225" cy="109855"/>
                <wp:wrapNone/>
                <wp:docPr id="97" name="Forme 97"/>
                <a:graphic xmlns:a="http://schemas.openxmlformats.org/drawingml/2006/main">
                  <a:graphicData uri="http://schemas.microsoft.com/office/word/2010/wordprocessingShape">
                    <wps:wsp>
                      <wps:cNvSpPr txBox="1"/>
                      <wps:spPr>
                        <a:xfrm>
                          <a:ext cx="149225" cy="109855"/>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2"/>
                              </w:rPr>
                            </w:pPr>
                            <w:r>
                              <w:rPr>
                                <w:rStyle w:val="CharStyle28"/>
                                <w:b/>
                                <w:color w:val="000000"/>
                                <w:sz w:val="12"/>
                              </w:rPr>
                              <w:t>HO</w:t>
                            </w:r>
                          </w:p>
                        </w:txbxContent>
                      </wps:txbx>
                      <wps:bodyPr lIns="0" tIns="0" rIns="0" bIns="0">
                        <a:noAutoFit/>
                      </wps:bodyPr>
                    </wps:wsp>
                  </a:graphicData>
                </a:graphic>
              </wp:anchor>
            </w:drawing>
          </mc:Choice>
        </mc:AlternateContent>
      </w:r>
      <w:r>
        <w:rPr>
          <w:rStyle w:val="CharStyle19"/>
          <w:rFonts w:ascii="Arial" w:hAnsi="Arial" w:cs="Arial" w:eastAsia="Arial"/>
          <w:b/>
          <w:sz w:val="12"/>
        </w:rPr>
        <w:t xml:space="preserve">Envoyé par: À l'attention de:</w:t>
      </w:r>
    </w:p>
    <w:p>
      <w:pPr>
        <w:pStyle w:val="Style18"/>
        <w:keepNext w:val="0"/>
        <w:keepLines w:val="0"/>
        <w:widowControl w:val="0"/>
        <w:shd w:val="clear" w:color="auto" w:fill="auto"/>
        <w:spacing w:before="0" w:after="160" w:line="317" w:lineRule="auto"/>
        <w:ind w:left="0" w:right="0" w:firstLine="760"/>
        <w:jc w:val="left"/>
        <w:rPr>
          <w:sz w:val="12"/>
        </w:rPr>
      </w:pPr>
      <w:r>
        <w:rPr>
          <w:rStyle w:val="CharStyle19"/>
          <w:rFonts w:ascii="Arial" w:hAnsi="Arial" w:cs="Arial" w:eastAsia="Arial"/>
          <w:b/>
          <w:sz w:val="12"/>
        </w:rPr>
        <w:t xml:space="preserve">CC :</w:t>
      </w:r>
    </w:p>
    <w:p>
      <w:pPr>
        <w:pStyle w:val="Style18"/>
        <w:keepNext w:val="0"/>
        <w:keepLines w:val="0"/>
        <w:widowControl w:val="0"/>
        <w:shd w:val="clear" w:color="auto" w:fill="auto"/>
        <w:spacing w:before="0" w:after="0" w:line="310" w:lineRule="auto"/>
        <w:ind w:left="0" w:right="0" w:firstLine="0"/>
        <w:jc w:val="left"/>
        <w:rPr>
          <w:sz w:val="12"/>
        </w:rPr>
      </w:pPr>
      <w:r>
        <mc:AlternateContent>
          <mc:Choice Requires="wps">
            <w:drawing>
              <wp:anchor distT="0" distB="0" distL="101600" distR="101600" simplePos="0" relativeHeight="125829427" behindDoc="0" locked="0" layoutInCell="1" allowOverlap="1">
                <wp:simplePos x="0" y="0"/>
                <wp:positionH relativeFrom="page">
                  <wp:posOffset>1978025</wp:posOffset>
                </wp:positionH>
                <wp:positionV relativeFrom="paragraph">
                  <wp:posOffset>114300</wp:posOffset>
                </wp:positionV>
                <wp:extent cx="1624330" cy="362585"/>
                <wp:wrapSquare wrapText="bothSides"/>
                <wp:docPr id="99" name="Forme 99"/>
                <a:graphic xmlns:a="http://schemas.openxmlformats.org/drawingml/2006/main">
                  <a:graphicData uri="http://schemas.microsoft.com/office/word/2010/wordprocessingShape">
                    <wps:wsp>
                      <wps:cNvSpPr txBox="1"/>
                      <wps:spPr>
                        <a:xfrm>
                          <a:ext cx="1624330" cy="362585"/>
                        </a:xfrm>
                        <a:prstGeom prst="rect"/>
                        <a:noFill/>
                      </wps:spPr>
                      <wps:txbx>
                        <w:txbxContent>
                          <w:p>
                            <w:pPr>
                              <w:pStyle w:val="Style18"/>
                              <w:keepNext w:val="0"/>
                              <w:keepLines w:val="0"/>
                              <w:widowControl w:val="0"/>
                              <w:shd w:val="clear" w:color="auto" w:fill="auto"/>
                              <w:spacing w:before="0" w:after="0" w:line="310" w:lineRule="auto"/>
                              <w:ind w:left="0" w:right="0" w:firstLine="0"/>
                              <w:jc w:val="left"/>
                              <w:rPr>
                                <w:sz w:val="12"/>
                              </w:rPr>
                            </w:pPr>
                            <w:r>
                              <w:rPr>
                                <w:rStyle w:val="CharStyle19"/>
                                <w:rFonts w:ascii="Arial" w:hAnsi="Arial" w:cs="Arial" w:eastAsia="Arial"/>
                                <w:b/>
                                <w:sz w:val="12"/>
                              </w:rPr>
                              <w:t xml:space="preserve">Michelle Ringuette, Cabinet de la présidente BethAntunez, Législation RE: Suivi de l'AFT</w:t>
                            </w:r>
                          </w:p>
                        </w:txbxContent>
                      </wps:txbx>
                      <wps:bodyPr lIns="0" tIns="0" rIns="0" bIns="0">
                        <a:noAutoFit/>
                      </wps:bodyPr>
                    </wps:wsp>
                  </a:graphicData>
                </a:graphic>
              </wp:anchor>
            </w:drawing>
          </mc:Choice>
        </mc:AlternateContent>
      </w:r>
      <w:r>
        <w:rPr>
          <w:rStyle w:val="CharStyle19"/>
          <w:rFonts w:ascii="Arial" w:hAnsi="Arial" w:cs="Arial" w:eastAsia="Arial"/>
          <w:b/>
          <w:sz w:val="12"/>
        </w:rPr>
        <w:t xml:space="preserve">Gonzalez, Noe EOP/OMS</w:t>
      </w:r>
    </w:p>
    <w:p>
      <w:pPr>
        <w:pStyle w:val="Style18"/>
        <w:keepNext w:val="0"/>
        <w:keepLines w:val="0"/>
        <w:widowControl w:val="0"/>
        <w:shd w:val="clear" w:color="auto" w:fill="auto"/>
        <w:spacing w:before="0" w:after="0" w:line="310" w:lineRule="auto"/>
        <w:ind w:left="0" w:right="0" w:firstLine="0"/>
        <w:jc w:val="left"/>
        <w:rPr>
          <w:sz w:val="12"/>
        </w:rPr>
      </w:pPr>
      <w:r>
        <w:rPr>
          <w:rStyle w:val="CharStyle19"/>
          <w:rFonts w:ascii="Arial" w:hAnsi="Arial" w:cs="Arial" w:eastAsia="Arial"/>
          <w:b/>
          <w:sz w:val="12"/>
        </w:rPr>
        <w:t xml:space="preserve">Jane Meroney, Législation Marla Ucelli-Kashyap, Questions éducatives</w:t>
      </w:r>
    </w:p>
    <w:p>
      <w:pPr>
        <w:pStyle w:val="Style18"/>
        <w:keepNext w:val="0"/>
        <w:keepLines w:val="0"/>
        <w:widowControl w:val="0"/>
        <w:shd w:val="clear" w:color="auto" w:fill="auto"/>
        <w:spacing w:before="0" w:after="400" w:line="240" w:lineRule="auto"/>
        <w:ind w:left="0" w:right="0" w:firstLine="760"/>
        <w:jc w:val="left"/>
        <w:rPr>
          <w:sz w:val="12"/>
        </w:rPr>
      </w:pPr>
      <w:r>
        <w:rPr>
          <w:rStyle w:val="CharStyle19"/>
          <w:rFonts w:ascii="Arial" w:hAnsi="Arial" w:cs="Arial" w:eastAsia="Arial"/>
          <w:b/>
          <w:sz w:val="12"/>
        </w:rPr>
        <w:t>Objet:</w:t>
      </w:r>
    </w:p>
    <w:p>
      <w:pPr>
        <w:pStyle w:val="Style57"/>
        <w:keepNext w:val="0"/>
        <w:keepLines w:val="0"/>
        <w:widowControl w:val="0"/>
        <w:shd w:val="clear" w:color="auto" w:fill="auto"/>
        <w:spacing w:before="0" w:after="0" w:line="240" w:lineRule="auto"/>
        <w:ind w:left="0" w:right="0" w:firstLine="760"/>
        <w:jc w:val="left"/>
      </w:pPr>
      <w:r>
        <w:rPr>
          <w:rStyle w:val="CharStyle58"/>
          <w:b/>
          <w:color w:val="2B6160"/>
        </w:rPr>
        <w:t xml:space="preserve">Chers tous,</w:t>
      </w:r>
    </w:p>
    <w:p>
      <w:pPr>
        <w:pStyle w:val="Style57"/>
        <w:keepNext w:val="0"/>
        <w:keepLines w:val="0"/>
        <w:widowControl w:val="0"/>
        <w:shd w:val="clear" w:color="auto" w:fill="auto"/>
        <w:spacing w:before="0" w:after="0" w:line="290" w:lineRule="auto"/>
        <w:ind w:left="760" w:right="0" w:firstLine="0"/>
        <w:jc w:val="left"/>
      </w:pPr>
      <w:r>
        <w:rPr>
          <w:rStyle w:val="CharStyle58"/>
          <w:color w:val="000000"/>
        </w:rPr>
        <w:t xml:space="preserve">Je voulais juste revenir en arrière et exprimer ma gratitude pour la langue que vous nous avez fournie ci-dessous. Regrets pour mon retard dans la réponse, mais je voulais être certain que vous saviez qu'il est en train d'être travaillé dans (avec seulement quelques petits ajustements) l'orientation d'ouverture de l'école. Nous avons également inclus le résumé que vous avez suggéré.</w:t>
      </w:r>
    </w:p>
    <w:p>
      <w:pPr>
        <w:pStyle w:val="Style57"/>
        <w:keepNext w:val="0"/>
        <w:keepLines w:val="0"/>
        <w:widowControl w:val="0"/>
        <w:shd w:val="clear" w:color="auto" w:fill="auto"/>
        <w:spacing w:before="0" w:after="0" w:line="290" w:lineRule="auto"/>
        <w:ind w:left="0" w:right="0" w:firstLine="760"/>
        <w:jc w:val="left"/>
      </w:pPr>
      <w:r>
        <w:rPr>
          <w:rStyle w:val="CharStyle58"/>
          <w:color w:val="000000"/>
        </w:rPr>
        <w:t xml:space="preserve">S'il vous plaît sachez que nous écoutons et travaillons dur pour assurer votre confiance et votre partenariat dans cette entreprise.</w:t>
      </w:r>
    </w:p>
    <w:p>
      <w:pPr>
        <w:pStyle w:val="Style57"/>
        <w:keepNext w:val="0"/>
        <w:keepLines w:val="0"/>
        <w:widowControl w:val="0"/>
        <w:shd w:val="clear" w:color="auto" w:fill="auto"/>
        <w:spacing w:before="0" w:after="0" w:line="290" w:lineRule="auto"/>
        <w:ind w:left="0" w:right="0" w:firstLine="760"/>
        <w:jc w:val="left"/>
      </w:pPr>
      <w:r>
        <w:rPr>
          <w:rStyle w:val="CharStyle58"/>
          <w:color w:val="000000"/>
        </w:rPr>
        <w:t xml:space="preserve">Mon meilleur,</w:t>
      </w:r>
    </w:p>
    <w:p>
      <w:pPr>
        <w:pStyle w:val="Style57"/>
        <w:keepNext w:val="0"/>
        <w:keepLines w:val="0"/>
        <w:widowControl w:val="0"/>
        <w:shd w:val="clear" w:color="auto" w:fill="auto"/>
        <w:spacing w:before="0" w:after="340" w:line="290" w:lineRule="auto"/>
        <w:ind w:left="0" w:right="0" w:firstLine="760"/>
        <w:jc w:val="left"/>
      </w:pPr>
      <w:r>
        <w:rPr>
          <w:rStyle w:val="CharStyle58"/>
          <w:color w:val="000000"/>
        </w:rPr>
        <w:t>Rochelle</w:t>
      </w:r>
    </w:p>
    <w:p>
      <w:pPr>
        <w:pStyle w:val="Style24"/>
        <w:keepNext w:val="0"/>
        <w:keepLines w:val="0"/>
        <w:widowControl w:val="0"/>
        <w:shd w:val="clear" w:color="auto" w:fill="auto"/>
        <w:spacing w:before="0" w:line="240" w:lineRule="auto"/>
        <w:ind w:left="0" w:right="0" w:firstLine="720"/>
        <w:jc w:val="left"/>
        <w:rPr>
          <w:sz w:val="24"/>
        </w:rPr>
      </w:pPr>
      <w:r>
        <w:rPr>
          <w:rStyle w:val="CharStyle25"/>
          <w:sz w:val="24"/>
        </w:rPr>
        <w:t xml:space="preserve">Par la suite, la première édition de l'AFT est devenue la stratégie opérationnelle finale pratiquement inchangée:</w:t>
      </w:r>
    </w:p>
    <w:tbl>
      <w:tblPr>
        <w:tblOverlap w:val="never"/>
        <w:jc w:val="center"/>
        <w:tblLayout w:type="fixed"/>
      </w:tblPr>
      <w:tblGrid>
        <w:gridCol w:w="4406"/>
        <w:gridCol w:w="4963"/>
      </w:tblGrid>
      <w:tr>
        <w:trPr>
          <w:trHeight w:val="480" w:hRule="exact"/>
        </w:trPr>
        <w:tc>
          <w:tcPr>
            <w:tcBorders>
              <w:top w:val="single" w:sz="4"/>
              <w:left w:val="single" w:sz="4"/>
            </w:tcBorders>
            <w:shd w:val="clear" w:color="auto" w:fill="auto"/>
            <w:vAlign w:val="bottom"/>
          </w:tcPr>
          <w:p>
            <w:pPr>
              <w:pStyle w:val="Style18"/>
              <w:keepNext w:val="0"/>
              <w:keepLines w:val="0"/>
              <w:widowControl w:val="0"/>
              <w:shd w:val="clear" w:color="auto" w:fill="auto"/>
              <w:spacing w:before="0" w:after="0" w:line="240" w:lineRule="auto"/>
              <w:ind w:left="0" w:right="0" w:firstLine="0"/>
              <w:jc w:val="center"/>
              <w:rPr>
                <w:sz w:val="20"/>
              </w:rPr>
            </w:pPr>
            <w:r>
              <w:rPr>
                <w:rStyle w:val="CharStyle19"/>
                <w:b/>
                <w:sz w:val="20"/>
              </w:rPr>
              <w:t xml:space="preserve">LANGUE PROPOSÉE DE L’AFT «AFT EDIT 1»</w:t>
            </w:r>
          </w:p>
        </w:tc>
        <w:tc>
          <w:tcPr>
            <w:tcBorders>
              <w:top w:val="single" w:sz="4"/>
              <w:left w:val="single" w:sz="4"/>
              <w:right w:val="single" w:sz="4"/>
            </w:tcBorders>
            <w:shd w:val="clear" w:color="auto" w:fill="auto"/>
            <w:vAlign w:val="bottom"/>
          </w:tcPr>
          <w:p>
            <w:pPr>
              <w:pStyle w:val="Style18"/>
              <w:keepNext w:val="0"/>
              <w:keepLines w:val="0"/>
              <w:widowControl w:val="0"/>
              <w:shd w:val="clear" w:color="auto" w:fill="auto"/>
              <w:spacing w:before="0" w:after="0" w:line="240" w:lineRule="auto"/>
              <w:ind w:left="0" w:right="0" w:firstLine="0"/>
              <w:jc w:val="center"/>
              <w:rPr>
                <w:sz w:val="20"/>
              </w:rPr>
            </w:pPr>
            <w:r>
              <w:rPr>
                <w:rStyle w:val="CharStyle19"/>
                <w:b/>
                <w:sz w:val="20"/>
              </w:rPr>
              <w:t xml:space="preserve">VERSION FINALE DE LA STRATÉGIE OPÉRATIONNELLE</w:t>
            </w:r>
          </w:p>
        </w:tc>
      </w:tr>
      <w:tr>
        <w:trPr>
          <w:trHeight w:val="5774" w:hRule="exact"/>
        </w:trPr>
        <w:tc>
          <w:tcPr>
            <w:tcBorders>
              <w:top w:val="single" w:sz="4"/>
              <w:left w:val="single" w:sz="4"/>
              <w:bottom w:val="single" w:sz="4"/>
            </w:tcBorders>
            <w:shd w:val="clear" w:color="auto" w:fill="auto"/>
            <w:vAlign w:val="bottom"/>
          </w:tcPr>
          <w:p>
            <w:pPr>
              <w:pStyle w:val="Style18"/>
              <w:keepNext w:val="0"/>
              <w:keepLines w:val="0"/>
              <w:widowControl w:val="0"/>
              <w:shd w:val="clear" w:color="auto" w:fill="auto"/>
              <w:spacing w:before="0" w:after="440" w:line="283" w:lineRule="auto"/>
              <w:ind w:left="0" w:right="0" w:firstLine="0"/>
              <w:jc w:val="left"/>
              <w:rPr>
                <w:sz w:val="17"/>
              </w:rPr>
            </w:pPr>
            <w:r>
              <w:rPr>
                <w:rStyle w:val="CharStyle19"/>
                <w:sz w:val="17"/>
              </w:rPr>
              <w:t xml:space="preserve">Les employeurs devraient prévoir la réaffectation, le travail à distance ou d’autres options pour le personnel qui a documenté des conditions à haut risque ou qui est exposé à un risque accru d’ilhiess grave de COVID-19 afin de limiter le risque d’exposition sur le lieu de travail.</w:t>
            </w:r>
          </w:p>
          <w:p>
            <w:pPr>
              <w:pStyle w:val="Style18"/>
              <w:keepNext w:val="0"/>
              <w:keepLines w:val="0"/>
              <w:widowControl w:val="0"/>
              <w:shd w:val="clear" w:color="auto" w:fill="auto"/>
              <w:spacing w:before="0" w:after="440" w:line="283" w:lineRule="auto"/>
              <w:ind w:left="0" w:right="0" w:firstLine="0"/>
              <w:jc w:val="left"/>
              <w:rPr>
                <w:sz w:val="17"/>
              </w:rPr>
            </w:pPr>
            <w:r>
              <w:rPr>
                <w:rStyle w:val="CharStyle19"/>
                <w:sz w:val="17"/>
              </w:rPr>
              <w:t xml:space="preserve">Les options de réaffectation comprennent le télétravail, les possibilités d'enseignement virtuel, les responsabilités professionnelles modifiées, les modifications environnementales, la flexibilité de l'horaire ou la réaffectation temporaire à différentes responsabilités professionnelles. Ces options devraient également être étendues aux membres du personnel qui ont un membre du ménage présentant des documents attestant d’une affection à haut risque ou qui sont exposés à un risque accru d’ilhiess grave lié à la COVID-19.</w:t>
            </w:r>
          </w:p>
          <w:p>
            <w:pPr>
              <w:pStyle w:val="Style18"/>
              <w:keepNext w:val="0"/>
              <w:keepLines w:val="0"/>
              <w:widowControl w:val="0"/>
              <w:shd w:val="clear" w:color="auto" w:fill="auto"/>
              <w:spacing w:before="0" w:after="0" w:line="283" w:lineRule="auto"/>
              <w:ind w:left="0" w:right="0" w:firstLine="0"/>
              <w:jc w:val="left"/>
              <w:rPr>
                <w:sz w:val="17"/>
              </w:rPr>
            </w:pPr>
            <w:r>
              <w:rPr>
                <w:rStyle w:val="CharStyle19"/>
                <w:sz w:val="17"/>
              </w:rPr>
              <w:t xml:space="preserve">Les politiques et procédures portant sur les questions liées aux enseignants et aux autres membres du personnel exposés à un risque plus élevé de maladie grave devraient être élaborées en consultation avec les professionnels de la médecine du travail et des ressources humaines, en gardant à l'esprit les préoccupations relatives à l'égalité des chances en matière d'emploi.</w:t>
            </w:r>
          </w:p>
        </w:tc>
        <w:tc>
          <w:tcPr>
            <w:tcBorders>
              <w:top w:val="single" w:sz="4"/>
              <w:left w:val="single" w:sz="4"/>
              <w:bottom w:val="single" w:sz="4"/>
              <w:right w:val="single" w:sz="4"/>
            </w:tcBorders>
            <w:shd w:val="clear" w:color="auto" w:fill="auto"/>
            <w:vAlign w:val="top"/>
          </w:tcPr>
          <w:p>
            <w:pPr>
              <w:pStyle w:val="Style18"/>
              <w:keepNext w:val="0"/>
              <w:keepLines w:val="0"/>
              <w:widowControl w:val="0"/>
              <w:shd w:val="clear" w:color="auto" w:fill="auto"/>
              <w:spacing w:before="0" w:after="0" w:line="240" w:lineRule="auto"/>
              <w:ind w:left="0" w:right="0" w:firstLine="0"/>
              <w:jc w:val="left"/>
              <w:rPr>
                <w:sz w:val="20"/>
              </w:rPr>
            </w:pPr>
            <w:r>
              <w:rPr>
                <w:rStyle w:val="CharStyle19"/>
                <w:sz w:val="17"/>
              </w:rPr>
              <w:t xml:space="preserve">À tous les niveaux de transmission communautaire, les employeurs </w:t>
            </w:r>
            <w:r>
              <w:rPr>
                <w:rStyle w:val="CharStyle19"/>
                <w:b/>
                <w:sz w:val="20"/>
              </w:rPr>
              <w:t xml:space="preserve">devraient offrir la réaffectation, le travail à distance ou d'autres options pour le personnel qui a documenté des conditions à haut risque ou qui sont à risque accru de maladie grave de COVTD-19 afin de limiter le risque d'exposition en milieu de travail. </w:t>
            </w:r>
            <w:r>
              <w:rPr>
                <w:rStyle w:val="CharStyle19"/>
                <w:sz w:val="17"/>
              </w:rPr>
              <w:t xml:space="preserve">Lorsque ces conditions sont des handicaps en vertu de l'Americans with Disabilities Act, les employeurs doivent fournir des aménagements raisonnables soumis à une contrainte excessive. </w:t>
            </w:r>
            <w:r>
              <w:rPr>
                <w:rStyle w:val="CharStyle19"/>
                <w:b/>
                <w:sz w:val="20"/>
              </w:rPr>
              <w:t xml:space="preserve">Les options de réaffectation peuvent </w:t>
            </w:r>
            <w:r>
              <w:rPr>
                <w:rStyle w:val="CharStyle19"/>
                <w:sz w:val="17"/>
              </w:rPr>
              <w:t xml:space="preserve">inclure, sans s'y limiter, le </w:t>
            </w:r>
            <w:r>
              <w:rPr>
                <w:rStyle w:val="CharStyle19"/>
                <w:b/>
                <w:sz w:val="20"/>
              </w:rPr>
              <w:t xml:space="preserve">télétravail, les possibilités d'enseignement virtuel, les responsabilités professionnelles modifiées, les modifications environnementales, la flexibilité de l'horaire ou la réaffectation temporaire à différentes responsabilités professionnelles. Ces options devraient également être étendues aux membres du personnel dont un membre du ménage est atteint d’une maladie à haut risque ou qui sont exposés à un risque accru de maladie grave due à la COVID-19.</w:t>
            </w:r>
          </w:p>
          <w:p>
            <w:pPr>
              <w:pStyle w:val="Style18"/>
              <w:keepNext w:val="0"/>
              <w:keepLines w:val="0"/>
              <w:widowControl w:val="0"/>
              <w:shd w:val="clear" w:color="auto" w:fill="auto"/>
              <w:spacing w:before="0" w:after="0" w:line="240" w:lineRule="auto"/>
              <w:ind w:left="0" w:right="0" w:firstLine="0"/>
              <w:jc w:val="left"/>
              <w:rPr>
                <w:sz w:val="20"/>
              </w:rPr>
            </w:pPr>
            <w:r>
              <w:rPr>
                <w:rStyle w:val="CharStyle19"/>
                <w:b/>
                <w:sz w:val="20"/>
              </w:rPr>
              <w:t xml:space="preserve">Les politiques et procédures traitant des questions liées aux enseignants et aux autres membres du personnel exposés à un risque plus élevé de maladie grave </w:t>
            </w:r>
            <w:r>
              <w:rPr>
                <w:rStyle w:val="CharStyle19"/>
                <w:sz w:val="17"/>
              </w:rPr>
              <w:t xml:space="preserve">et à l'application de la réaffectation, de l'éloignement</w:t>
            </w:r>
            <w:r>
              <w:rPr>
                <w:rStyle w:val="CharStyle19"/>
                <w:sz w:val="17"/>
                <w:vertAlign w:val="superscript"/>
              </w:rPr>
              <w:t xml:space="preserve">ou d'autres options d'atténuation</w:t>
            </w:r>
            <w:r>
              <w:rPr>
                <w:rStyle w:val="CharStyle19"/>
                <w:sz w:val="17"/>
              </w:rPr>
              <w:t xml:space="preserve"> </w:t>
            </w:r>
            <w:r>
              <w:rPr>
                <w:rStyle w:val="CharStyle19"/>
                <w:b/>
                <w:sz w:val="20"/>
              </w:rPr>
              <w:t xml:space="preserve">devraient être élaborées en consultation avec des professionnels de la médecine du travail et des ressources humaines </w:t>
            </w:r>
            <w:r>
              <w:rPr>
                <w:rStyle w:val="CharStyle19"/>
                <w:sz w:val="17"/>
              </w:rPr>
              <w:t xml:space="preserve">connaissant </w:t>
            </w:r>
            <w:r>
              <w:rPr>
                <w:rStyle w:val="CharStyle19"/>
                <w:b/>
                <w:sz w:val="20"/>
              </w:rPr>
              <w:t xml:space="preserve">la situation spécifique, en gardant à l'esprit l'égalité des chances en matière d'emploi (EEO) </w:t>
            </w:r>
            <w:r>
              <w:rPr>
                <w:rStyle w:val="CharStyle19"/>
                <w:sz w:val="17"/>
              </w:rPr>
              <w:t xml:space="preserve">et d'autres </w:t>
            </w:r>
            <w:r>
              <w:rPr>
                <w:rStyle w:val="CharStyle19"/>
                <w:b/>
                <w:sz w:val="20"/>
              </w:rPr>
              <w:t xml:space="preserve">préoccupations juridiques potentielles.</w:t>
            </w:r>
          </w:p>
        </w:tc>
      </w:tr>
    </w:tbl>
    <w:p>
      <w:pPr>
        <w:widowControl w:val="0"/>
        <w:spacing w:after="259" w:line="1" w:lineRule="exact"/>
      </w:pPr>
    </w:p>
    <w:p>
      <w:pPr>
        <w:pStyle w:val="Style24"/>
        <w:keepNext w:val="0"/>
        <w:keepLines w:val="0"/>
        <w:widowControl w:val="0"/>
        <w:shd w:val="clear" w:color="auto" w:fill="auto"/>
        <w:spacing w:before="0" w:after="200" w:line="240" w:lineRule="auto"/>
        <w:ind w:left="0" w:right="0" w:firstLine="720"/>
        <w:jc w:val="left"/>
        <w:rPr>
          <w:sz w:val="24"/>
        </w:rPr>
        <w:sectPr>
          <w:footnotePr>
            <w:pos w:val="pageBottom"/>
            <w:numFmt w:val="decimal"/>
            <w:numStart w:val="1448"/>
            <w:numRestart w:val="continuous"/>
            <w15:footnoteColumns w:val="1"/>
          </w:footnotePr>
          <w:pgSz w:w="12240" w:h="15840"/>
          <w:pgMar w:top="1512" w:right="1430" w:bottom="1512" w:left="1411" w:header="1084" w:footer="3" w:gutter="0"/>
          <w:cols w:space="720"/>
          <w:noEndnote/>
          <w:rtlGutter w:val="0"/>
          <w:docGrid w:linePitch="360"/>
        </w:sectPr>
      </w:pPr>
      <w:r>
        <w:rPr>
          <w:rStyle w:val="CharStyle25"/>
          <w:sz w:val="24"/>
        </w:rPr>
        <w:t xml:space="preserve">L'inclusion de la langue d'accommodement n'était pas suffisante pour l'AFT. Selon les courriels examinés par le sous-comité restreint, le Dr Walensky a eu un appel avec Mme Weingarten le 7 février 2021.</w:t>
      </w:r>
    </w:p>
    <w:p>
      <w:pPr>
        <w:pStyle w:val="Style24"/>
        <w:keepNext w:val="0"/>
        <w:keepLines w:val="0"/>
        <w:widowControl w:val="0"/>
        <w:shd w:val="clear" w:color="auto" w:fill="auto"/>
        <w:spacing w:before="0" w:after="280"/>
        <w:ind w:left="0" w:right="0" w:firstLine="740"/>
        <w:jc w:val="left"/>
      </w:pPr>
      <w:r>
        <w:rPr>
          <w:rStyle w:val="CharStyle25"/>
        </w:rPr>
        <w:t xml:space="preserve">Dans la matinée du 10 février 2021, l'AFT a pu examiner une copie de la stratégie opérationnelle qui a été divulguée au New York Times.</w:t>
        <w:footnoteReference w:id="277"/>
        <w:t xml:space="preserve"> Le personnel de l'AFT s'est rapidement dit préoccupé par le fait que le projet de stratégie opérationnelle permettait aux écoles d'être ouvertes à n'importe quel niveau de transmission communautaire.</w:t>
        <w:footnoteReference w:id="278"/>
        <w:t xml:space="preserve"> Dans la partie pertinente, le projet de texte prévoyait ce qui suit:</w:t>
        <w:footnoteReference w:id="279"/>
      </w:r>
    </w:p>
    <w:p>
      <w:pPr>
        <w:pStyle w:val="Style24"/>
        <w:keepNext w:val="0"/>
        <w:keepLines w:val="0"/>
        <w:widowControl w:val="0"/>
        <w:shd w:val="clear" w:color="auto" w:fill="auto"/>
        <w:spacing w:before="0" w:after="280"/>
        <w:ind w:left="740" w:right="0" w:firstLine="0"/>
        <w:jc w:val="left"/>
      </w:pPr>
      <w:r>
        <w:rPr>
          <w:rStyle w:val="CharStyle25"/>
        </w:rPr>
        <w:t xml:space="preserve">À n'importe quel niveau de transmission communautaire, toutes les écoles peuvent fournir un enseignement en personne (complet ou hybride), en respectant strictement les stratégies d'atténuation. Les modes d'apprentissage recommandés varient pour minimiser le risque de transmission du SRAS-CoV-2 à l'école en mettant l'accent sur l'atténuation à plusieurs niveaux, y compris les politiques scolaires exigeant l'utilisation universelle et correcte du masque. Les modes d'apprentissage recommandés (en personne, hybrides) dépendent du niveau de transmission communautaire et du strict respect des mesures d'atténuation. </w:t>
        <w:footnoteReference w:id="280"/>
      </w:r>
    </w:p>
    <w:p>
      <w:pPr>
        <w:pStyle w:val="Style24"/>
        <w:keepNext w:val="0"/>
        <w:keepLines w:val="0"/>
        <w:widowControl w:val="0"/>
        <w:shd w:val="clear" w:color="auto" w:fill="auto"/>
        <w:spacing w:before="0" w:after="2200"/>
        <w:ind w:left="0" w:right="0" w:firstLine="740"/>
        <w:jc w:val="left"/>
      </w:pPr>
      <w:r>
        <w:rPr>
          <w:rStyle w:val="CharStyle25"/>
        </w:rPr>
        <w:t xml:space="preserve">L’AFT – en particulier Mme Weingarten – n’était pas satisfaite que la stratégie opérationnelle permette aux écoles d’ouvrir à n’importe quel niveau de transmission communautaire. Le matin du 11 février 2021, Mme Weingarten a envoyé un texto à Mme Walensky pour lui demander une réunion après la fuite des directives opérationnelles.</w:t>
        <w:footnoteReference w:id="281"/>
        <w:t xml:space="preserve"> Le Dr Walensky a répondu qu'elle pouvait se rencontrer cet après-midi-là.</w:t>
        <w:footnoteReference w:id="282"/>
      </w:r>
    </w:p>
    <w:p>
      <w:pPr>
        <w:pStyle w:val="Style24"/>
        <w:keepNext w:val="0"/>
        <w:keepLines w:val="0"/>
        <w:widowControl w:val="0"/>
        <w:shd w:val="clear" w:color="auto" w:fill="auto"/>
        <w:spacing w:before="0" w:after="0" w:line="240" w:lineRule="auto"/>
        <w:ind w:left="0" w:right="0" w:firstLine="0"/>
        <w:jc w:val="center"/>
        <w:sectPr>
          <w:footnotePr>
            <w:pos w:val="pageBottom"/>
            <w:numFmt w:val="decimal"/>
            <w:numStart w:val="1454"/>
            <w:numRestart w:val="continuous"/>
            <w15:footnoteColumns w:val="1"/>
          </w:footnotePr>
          <w:pgSz w:w="12485" w:h="16357"/>
          <w:pgMar w:top="1713" w:right="1553" w:bottom="1542" w:left="1534" w:header="1285" w:footer="3" w:gutter="0"/>
          <w:cols w:space="720"/>
          <w:noEndnote/>
          <w:rtlGutter w:val="0"/>
          <w:docGrid w:linePitch="360"/>
        </w:sectPr>
      </w:pPr>
      <w:r>
        <w:rPr>
          <w:rStyle w:val="CharStyle25"/>
        </w:rPr>
        <w:t xml:space="preserve">[REMAINDER OF PAGE INTENTIONALLY BLANK]</w:t>
      </w:r>
    </w:p>
    <w:p>
      <w:pPr>
        <w:widowControl w:val="0"/>
        <w:spacing w:line="1" w:lineRule="exact"/>
      </w:pPr>
      <w:r>
        <mc:AlternateContent>
          <mc:Choice Requires="wps">
            <w:drawing>
              <wp:anchor distT="25400" distB="763905" distL="114300" distR="1858010" simplePos="0" relativeHeight="125829429" behindDoc="0" locked="0" layoutInCell="1" allowOverlap="1">
                <wp:simplePos x="0" y="0"/>
                <wp:positionH relativeFrom="page">
                  <wp:posOffset>1507490</wp:posOffset>
                </wp:positionH>
                <wp:positionV relativeFrom="paragraph">
                  <wp:posOffset>60960</wp:posOffset>
                </wp:positionV>
                <wp:extent cx="228600" cy="118745"/>
                <wp:wrapTopAndBottom/>
                <wp:docPr id="101" name="Forme 101"/>
                <a:graphic xmlns:a="http://schemas.openxmlformats.org/drawingml/2006/main">
                  <a:graphicData uri="http://schemas.microsoft.com/office/word/2010/wordprocessingShape">
                    <wps:wsp>
                      <wps:cNvSpPr txBox="1"/>
                      <wps:spPr>
                        <a:xfrm>
                          <a:ext cx="228600" cy="118745"/>
                        </a:xfrm>
                        <a:prstGeom prst="rect"/>
                        <a:solidFill>
                          <a:srgbClr val="03080B"/>
                        </a:solidFill>
                      </wps:spPr>
                      <wps:txbx>
                        <w:txbxContent>
                          <w:p>
                            <w:pPr>
                              <w:pStyle w:val="Style57"/>
                              <w:keepNext w:val="0"/>
                              <w:keepLines w:val="0"/>
                              <w:widowControl w:val="0"/>
                              <w:pBdr>
                                <w:top w:val="single" w:sz="0" w:space="10" w:color="050C09"/>
                                <w:left w:val="single" w:sz="0" w:space="14" w:color="050C09"/>
                                <w:bottom w:val="single" w:sz="0" w:space="0" w:color="050C09"/>
                                <w:right w:val="single" w:sz="0" w:space="14" w:color="050C09"/>
                              </w:pBdr>
                              <w:shd w:val="clear" w:color="auto" w:fill="050C09"/>
                              <w:spacing w:before="0" w:after="0" w:line="240" w:lineRule="auto"/>
                              <w:ind w:left="0" w:right="0" w:firstLine="0"/>
                              <w:jc w:val="left"/>
                            </w:pPr>
                            <w:r>
                              <w:rPr>
                                <w:rStyle w:val="CharStyle58"/>
                                <w:color w:val="656361"/>
                              </w:rPr>
                              <w:t>Z19</w:t>
                            </w:r>
                          </w:p>
                        </w:txbxContent>
                      </wps:txbx>
                      <wps:bodyPr wrap="none" lIns="0" tIns="0" rIns="0" bIns="0">
                        <a:noAutoFit/>
                      </wps:bodyPr>
                    </wps:wsp>
                  </a:graphicData>
                </a:graphic>
              </wp:anchor>
            </w:drawing>
          </mc:Choice>
        </mc:AlternateContent>
      </w:r>
      <w:r>
        <w:drawing>
          <wp:anchor distT="52705" distB="50800" distL="796925" distR="114935" simplePos="0" relativeHeight="125829431" behindDoc="0" locked="0" layoutInCell="1" allowOverlap="1">
            <wp:simplePos x="0" y="0"/>
            <wp:positionH relativeFrom="page">
              <wp:posOffset>2190115</wp:posOffset>
            </wp:positionH>
            <wp:positionV relativeFrom="paragraph">
              <wp:posOffset>88265</wp:posOffset>
            </wp:positionV>
            <wp:extent cx="1292225" cy="804545"/>
            <wp:wrapTopAndBottom/>
            <wp:docPr id="103" name="Forme 103"/>
            <a:graphic xmlns:a="http://schemas.openxmlformats.org/drawingml/2006/main">
              <a:graphicData uri="http://schemas.openxmlformats.org/drawingml/2006/picture">
                <pic:pic xmlns:pic="http://schemas.openxmlformats.org/drawingml/2006/picture">
                  <pic:nvPicPr>
                    <pic:cNvPr id="104" name="Boîte à images 104"/>
                    <pic:cNvPicPr/>
                  </pic:nvPicPr>
                  <pic:blipFill>
                    <a:blip r:embed="rId44"/>
                    <a:stretch/>
                  </pic:blipFill>
                  <pic:spPr>
                    <a:xfrm>
                      <a:ext cx="1292225" cy="804545"/>
                    </a:xfrm>
                    <a:prstGeom prst="rect"/>
                  </pic:spPr>
                </pic:pic>
              </a:graphicData>
            </a:graphic>
          </wp:anchor>
        </w:drawing>
      </w:r>
    </w:p>
    <w:p>
      <w:pPr>
        <w:pStyle w:val="Style24"/>
        <w:keepNext w:val="0"/>
        <w:keepLines w:val="0"/>
        <w:widowControl w:val="0"/>
        <w:pBdr>
          <w:top w:val="single" w:sz="0" w:space="10" w:color="04090A"/>
          <w:left w:val="single" w:sz="0" w:space="14" w:color="04090A"/>
          <w:bottom w:val="single" w:sz="0" w:space="0" w:color="04090A"/>
          <w:right w:val="single" w:sz="0" w:space="14" w:color="04090A"/>
        </w:pBdr>
        <w:shd w:val="clear" w:color="auto" w:fill="04090A"/>
        <w:spacing w:before="0" w:after="200" w:line="192" w:lineRule="auto"/>
        <w:ind w:left="0" w:right="0" w:firstLine="0"/>
        <w:jc w:val="left"/>
      </w:pPr>
      <w:r>
        <w:rPr>
          <w:rStyle w:val="CharStyle25"/>
          <w:color w:val="656361"/>
        </w:rPr>
        <w:t xml:space="preserve">Salut comme Randis litaid quelque chose d'une fuite NYT qui semblait en contradiction avec dscusMoo Avez-vous haw Ihw fora peut</w:t>
      </w:r>
    </w:p>
    <w:p>
      <w:pPr>
        <w:pStyle w:val="Style24"/>
        <w:keepNext w:val="0"/>
        <w:keepLines w:val="0"/>
        <w:widowControl w:val="0"/>
        <w:pBdr>
          <w:top w:val="single" w:sz="0" w:space="0" w:color="02070A"/>
          <w:left w:val="single" w:sz="0" w:space="14" w:color="02070A"/>
          <w:bottom w:val="single" w:sz="0" w:space="0" w:color="02070A"/>
          <w:right w:val="single" w:sz="0" w:space="14" w:color="02070A"/>
        </w:pBdr>
        <w:shd w:val="clear" w:color="auto" w:fill="02070A"/>
        <w:spacing w:before="0" w:after="200" w:line="197" w:lineRule="auto"/>
        <w:ind w:left="1000" w:right="0" w:firstLine="0"/>
        <w:jc w:val="left"/>
      </w:pPr>
      <w:r>
        <w:rPr>
          <w:rStyle w:val="CharStyle25"/>
          <w:color w:val="60BEE0"/>
        </w:rPr>
        <w:t xml:space="preserve">Hmmm Argh h □ de meeUn j-, c#i touchez cette Alb i!-&gt;*!i Sont , u ifale à ping wh</w:t>
      </w:r>
      <w:r>
        <w:rPr>
          <w:rStyle w:val="CharStyle25"/>
          <w:smallCaps/>
          <w:color w:val="60BEE0"/>
          <w:sz w:val="15"/>
        </w:rPr>
        <w:t>ji</w:t>
      </w:r>
      <w:r>
        <w:rPr>
          <w:rStyle w:val="CharStyle25"/>
          <w:color w:val="60BEE0"/>
        </w:rPr>
        <w:t xml:space="preserve"> vous avez gagné?</w:t>
      </w:r>
    </w:p>
    <w:p>
      <w:pPr>
        <w:pStyle w:val="Style24"/>
        <w:keepNext w:val="0"/>
        <w:keepLines w:val="0"/>
        <w:widowControl w:val="0"/>
        <w:pBdr>
          <w:top w:val="single" w:sz="0" w:space="0" w:color="02070A"/>
          <w:left w:val="single" w:sz="0" w:space="14" w:color="02070A"/>
          <w:bottom w:val="single" w:sz="0" w:space="0" w:color="02070A"/>
          <w:right w:val="single" w:sz="0" w:space="14" w:color="02070A"/>
        </w:pBdr>
        <w:shd w:val="clear" w:color="auto" w:fill="02070A"/>
        <w:spacing w:before="0" w:after="0" w:line="197" w:lineRule="auto"/>
        <w:ind w:left="0" w:right="0" w:firstLine="0"/>
        <w:jc w:val="left"/>
      </w:pPr>
      <w:r>
        <w:rPr>
          <w:rStyle w:val="CharStyle25"/>
          <w:color w:val="656361"/>
        </w:rPr>
        <w:t xml:space="preserve">Oui. (et mo obtenir</w:t>
      </w:r>
    </w:p>
    <w:p>
      <w:pPr>
        <w:pStyle w:val="Style24"/>
        <w:keepNext w:val="0"/>
        <w:keepLines w:val="0"/>
        <w:widowControl w:val="0"/>
        <w:pBdr>
          <w:top w:val="single" w:sz="0" w:space="10" w:color="02070A"/>
          <w:left w:val="single" w:sz="0" w:space="14" w:color="02070A"/>
          <w:bottom w:val="single" w:sz="0" w:space="0" w:color="02070A"/>
          <w:right w:val="single" w:sz="0" w:space="14" w:color="02070A"/>
        </w:pBdr>
        <w:shd w:val="clear" w:color="auto" w:fill="02070A"/>
        <w:spacing w:before="0" w:after="200" w:line="197" w:lineRule="auto"/>
        <w:ind w:left="0" w:right="0" w:firstLine="0"/>
        <w:jc w:val="left"/>
      </w:pPr>
      <w:r>
        <w:rPr>
          <w:rStyle w:val="CharStyle25"/>
          <w:color w:val="656361"/>
        </w:rPr>
        <w:t xml:space="preserve">Cela a été divulgué par quelqu'un de l'agence lo NVT: ils sont en cours d'exécution avec o pleine vitesse direacJ enge</w:t>
      </w:r>
    </w:p>
    <w:p>
      <w:pPr>
        <w:pStyle w:val="Style24"/>
        <w:keepNext w:val="0"/>
        <w:keepLines w:val="0"/>
        <w:widowControl w:val="0"/>
        <w:pBdr>
          <w:top w:val="single" w:sz="0" w:space="10" w:color="02070A"/>
          <w:left w:val="single" w:sz="0" w:space="14" w:color="02070A"/>
          <w:bottom w:val="single" w:sz="0" w:space="0" w:color="02070A"/>
          <w:right w:val="single" w:sz="0" w:space="14" w:color="02070A"/>
        </w:pBdr>
        <w:shd w:val="clear" w:color="auto" w:fill="02070A"/>
        <w:spacing w:before="0" w:after="0" w:line="197" w:lineRule="auto"/>
        <w:ind w:left="0" w:right="0" w:firstLine="0"/>
        <w:jc w:val="left"/>
      </w:pPr>
      <w:r>
        <w:rPr>
          <w:rStyle w:val="CharStyle25"/>
          <w:color w:val="A0A1A1"/>
        </w:rPr>
        <w:t xml:space="preserve">I </w:t>
      </w:r>
      <w:r>
        <w:rPr>
          <w:rStyle w:val="CharStyle25"/>
          <w:color w:val="656361"/>
        </w:rPr>
        <w:t xml:space="preserve">toid </w:t>
      </w:r>
      <w:r>
        <w:rPr>
          <w:rStyle w:val="CharStyle25"/>
          <w:color w:val="A0A1A1"/>
        </w:rPr>
        <w:t xml:space="preserve">N </w:t>
      </w:r>
      <w:r>
        <w:rPr>
          <w:rStyle w:val="CharStyle25"/>
          <w:color w:val="656361"/>
        </w:rPr>
        <w:t xml:space="preserve">r </w:t>
      </w:r>
      <w:r>
        <w:rPr>
          <w:rStyle w:val="CharStyle25"/>
          <w:color w:val="A0A1A1"/>
        </w:rPr>
        <w:t xml:space="preserve">I </w:t>
      </w:r>
      <w:r>
        <w:rPr>
          <w:rStyle w:val="CharStyle25"/>
          <w:color w:val="656361"/>
        </w:rPr>
        <w:t xml:space="preserve">nous cherchions un riftlnc Nk * OMS fiat </w:t>
      </w:r>
      <w:r>
        <w:rPr>
          <w:rStyle w:val="CharStyle25"/>
          <w:color w:val="A0A1A1"/>
        </w:rPr>
        <w:t xml:space="preserve">4 </w:t>
      </w:r>
      <w:r>
        <w:rPr>
          <w:rStyle w:val="CharStyle25"/>
          <w:color w:val="656361"/>
        </w:rPr>
        <w:t xml:space="preserve">école cfosure </w:t>
      </w:r>
      <w:r>
        <w:rPr>
          <w:rStyle w:val="CharStyle25"/>
          <w:color w:val="A0A1A1"/>
        </w:rPr>
        <w:t xml:space="preserve">si </w:t>
      </w:r>
      <w:r>
        <w:rPr>
          <w:rStyle w:val="CharStyle25"/>
          <w:color w:val="656361"/>
        </w:rPr>
        <w:t xml:space="preserve">haute unité comm </w:t>
      </w:r>
      <w:r>
        <w:rPr>
          <w:rStyle w:val="CharStyle25"/>
          <w:color w:val="A0A1A1"/>
        </w:rPr>
        <w:t xml:space="preserve">propagation </w:t>
      </w:r>
      <w:r>
        <w:rPr>
          <w:rStyle w:val="CharStyle25"/>
          <w:color w:val="656361"/>
        </w:rPr>
        <w:t xml:space="preserve">iwhcuidifh </w:t>
      </w:r>
      <w:r>
        <w:rPr>
          <w:rStyle w:val="CharStyle25"/>
          <w:color w:val="A0A1A1"/>
        </w:rPr>
        <w:t xml:space="preserve">En </w:t>
      </w:r>
      <w:r>
        <w:rPr>
          <w:rStyle w:val="CharStyle25"/>
          <w:color w:val="656361"/>
        </w:rPr>
        <w:t xml:space="preserve">JgM </w:t>
      </w:r>
      <w:r>
        <w:rPr>
          <w:rStyle w:val="CharStyle25"/>
          <w:color w:val="A0A1A1"/>
        </w:rPr>
        <w:t xml:space="preserve">de var </w:t>
      </w:r>
      <w:r>
        <w:rPr>
          <w:rStyle w:val="CharStyle25"/>
          <w:color w:val="656361"/>
        </w:rPr>
        <w:t>an!</w:t>
      </w:r>
    </w:p>
    <w:p>
      <w:pPr>
        <w:pStyle w:val="Style24"/>
        <w:keepNext w:val="0"/>
        <w:keepLines w:val="0"/>
        <w:widowControl w:val="0"/>
        <w:pBdr>
          <w:top w:val="single" w:sz="0" w:space="10" w:color="02070A"/>
          <w:left w:val="single" w:sz="0" w:space="14" w:color="02070A"/>
          <w:bottom w:val="single" w:sz="0" w:space="0" w:color="02070A"/>
          <w:right w:val="single" w:sz="0" w:space="14" w:color="02070A"/>
        </w:pBdr>
        <w:shd w:val="clear" w:color="auto" w:fill="02070A"/>
        <w:spacing w:before="0" w:after="0" w:line="180" w:lineRule="auto"/>
        <w:ind w:left="0" w:right="0" w:firstLine="0"/>
        <w:jc w:val="left"/>
        <w:rPr>
          <w:sz w:val="20"/>
        </w:rPr>
      </w:pPr>
      <w:r>
        <w:rPr>
          <w:rStyle w:val="CharStyle25"/>
          <w:color w:val="656361"/>
          <w:sz w:val="20"/>
        </w:rPr>
        <w:t xml:space="preserve">Th" Q—</w:t>
      </w:r>
    </w:p>
    <w:p>
      <w:pPr>
        <w:pStyle w:val="Style128"/>
        <w:keepNext/>
        <w:keepLines/>
        <w:widowControl w:val="0"/>
        <w:pBdr>
          <w:top w:val="single" w:sz="0" w:space="10" w:color="02070A"/>
          <w:left w:val="single" w:sz="0" w:space="14" w:color="02070A"/>
          <w:bottom w:val="single" w:sz="0" w:space="0" w:color="02070A"/>
          <w:right w:val="single" w:sz="0" w:space="14" w:color="02070A"/>
        </w:pBdr>
        <w:shd w:val="clear" w:color="auto" w:fill="02070A"/>
        <w:spacing w:before="0"/>
        <w:ind w:left="0" w:right="0" w:firstLine="0"/>
        <w:jc w:val="left"/>
      </w:pPr>
      <w:bookmarkStart w:id="14" w:name="bookmark14"/>
      <w:r>
        <w:rPr>
          <w:rStyle w:val="CharStyle129"/>
        </w:rPr>
        <w:t xml:space="preserve">Q o</w:t>
      </w:r>
      <w:bookmarkEnd w:id="14"/>
    </w:p>
    <w:p>
      <w:pPr>
        <w:spacing w:lineRule="exact" w:line="1"/>
        <w:rPr>
          <w:sz w:val="2"/>
        </w:rPr>
      </w:pPr>
      <w:r>
        <w:br w:type="column"/>
      </w:r>
    </w:p>
    <w:p>
      <w:pPr>
        <w:pStyle w:val="Style18"/>
        <w:keepNext w:val="0"/>
        <w:keepLines w:val="0"/>
        <w:widowControl w:val="0"/>
        <w:pBdr>
          <w:top w:val="single" w:sz="0" w:space="0" w:color="03080B"/>
          <w:left w:val="single" w:sz="0" w:space="0" w:color="03080B"/>
          <w:bottom w:val="single" w:sz="0" w:space="0" w:color="03080B"/>
          <w:right w:val="single" w:sz="0" w:space="0" w:color="03080B"/>
        </w:pBdr>
        <w:shd w:val="clear" w:color="auto" w:fill="03080B"/>
        <w:tabs>
          <w:tab w:pos="2514" w:val="left"/>
        </w:tabs>
        <w:spacing w:before="0" w:after="200" w:line="240" w:lineRule="auto"/>
        <w:ind w:left="0" w:right="0" w:firstLine="340"/>
        <w:jc w:val="left"/>
        <w:rPr>
          <w:sz w:val="8"/>
        </w:rPr>
      </w:pPr>
      <w:r>
        <w:rPr>
          <w:rStyle w:val="CharStyle19"/>
          <w:rFonts w:ascii="Arial" w:hAnsi="Arial" w:cs="Arial" w:eastAsia="Arial"/>
          <w:color w:val="656361"/>
          <w:sz w:val="19"/>
        </w:rPr>
        <w:t xml:space="preserve">2^0 </w:t>
      </w:r>
      <w:r>
        <w:rPr>
          <w:rStyle w:val="CharStyle19"/>
          <w:rFonts w:ascii="Arial" w:hAnsi="Arial" w:cs="Arial" w:eastAsia="Arial"/>
          <w:color w:val="656361"/>
          <w:sz w:val="8"/>
        </w:rPr>
        <w:t xml:space="preserve">débarrasser W </w:t>
      </w:r>
      <w:r>
        <w:rPr>
          <w:rStyle w:val="CharStyle19"/>
          <w:rFonts w:ascii="Arial" w:hAnsi="Arial" w:cs="Arial" w:eastAsia="Arial"/>
          <w:color w:val="C8CBCC"/>
          <w:sz w:val="8"/>
        </w:rPr>
        <w:t>■</w:t>
      </w:r>
    </w:p>
    <w:p>
      <w:pPr>
        <w:pStyle w:val="Style24"/>
        <w:keepNext w:val="0"/>
        <w:keepLines w:val="0"/>
        <w:widowControl w:val="0"/>
        <w:pBdr>
          <w:top w:val="single" w:sz="0" w:space="0" w:color="03080B"/>
          <w:left w:val="single" w:sz="0" w:space="0" w:color="03080B"/>
          <w:bottom w:val="single" w:sz="0" w:space="0" w:color="03080B"/>
          <w:right w:val="single" w:sz="0" w:space="0" w:color="03080B"/>
        </w:pBdr>
        <w:shd w:val="clear" w:color="auto" w:fill="03080B"/>
        <w:spacing w:before="0" w:after="0" w:line="240" w:lineRule="auto"/>
        <w:ind w:left="0" w:right="0" w:firstLine="0"/>
        <w:jc w:val="left"/>
      </w:pPr>
      <w:r>
        <w:rPr>
          <w:rStyle w:val="CharStyle25"/>
          <w:color w:val="2A84AC"/>
        </w:rPr>
        <w:t xml:space="preserve">- </w:t>
      </w:r>
      <w:r>
        <w:rPr>
          <w:rStyle w:val="CharStyle25"/>
          <w:color w:val="C8CBCC"/>
        </w:rPr>
        <w:t>-</w:t>
      </w:r>
    </w:p>
    <w:p>
      <w:pPr>
        <w:pStyle w:val="Style24"/>
        <w:keepNext w:val="0"/>
        <w:keepLines w:val="0"/>
        <w:widowControl w:val="0"/>
        <w:pBdr>
          <w:top w:val="single" w:sz="0" w:space="0" w:color="03080B"/>
          <w:left w:val="single" w:sz="0" w:space="0" w:color="03080B"/>
          <w:bottom w:val="single" w:sz="0" w:space="0" w:color="03080B"/>
          <w:right w:val="single" w:sz="0" w:space="0" w:color="03080B"/>
        </w:pBdr>
        <w:shd w:val="clear" w:color="auto" w:fill="03080B"/>
        <w:spacing w:before="0" w:after="120" w:line="180" w:lineRule="auto"/>
        <w:ind w:left="0" w:right="0" w:firstLine="0"/>
        <w:jc w:val="center"/>
      </w:pPr>
      <w:r>
        <w:rPr>
          <w:rStyle w:val="CharStyle25"/>
          <w:color w:val="656361"/>
        </w:rPr>
        <w:t>k*r*</w:t>
      </w:r>
    </w:p>
    <w:p>
      <w:pPr>
        <w:pStyle w:val="Style57"/>
        <w:keepNext w:val="0"/>
        <w:keepLines w:val="0"/>
        <w:widowControl w:val="0"/>
        <w:pBdr>
          <w:top w:val="single" w:sz="0" w:space="0" w:color="03080B"/>
          <w:left w:val="single" w:sz="0" w:space="0" w:color="03080B"/>
          <w:bottom w:val="single" w:sz="0" w:space="0" w:color="03080B"/>
          <w:right w:val="single" w:sz="0" w:space="0" w:color="03080B"/>
        </w:pBdr>
        <w:shd w:val="clear" w:color="auto" w:fill="03080B"/>
        <w:spacing w:before="0" w:after="200" w:line="266" w:lineRule="auto"/>
        <w:ind w:left="0" w:right="0" w:firstLine="0"/>
        <w:jc w:val="left"/>
        <w:rPr>
          <w:sz w:val="19"/>
        </w:rPr>
      </w:pPr>
      <w:r>
        <w:rPr>
          <w:rStyle w:val="CharStyle58"/>
          <w:b/>
          <w:color w:val="656361"/>
          <w:sz w:val="15"/>
        </w:rPr>
        <w:t xml:space="preserve">Communauté cpreuiJ </w:t>
      </w:r>
      <w:r>
        <w:rPr>
          <w:rStyle w:val="CharStyle58"/>
          <w:color w:val="656361"/>
        </w:rPr>
        <w:t xml:space="preserve">pdriitui^ly Dans iisjhitif WWU. </w:t>
      </w:r>
      <w:r>
        <w:rPr>
          <w:rStyle w:val="CharStyle58"/>
          <w:color w:val="656361"/>
          <w:sz w:val="19"/>
        </w:rPr>
        <w:t xml:space="preserve">L'exception Gertrwy/GB.</w:t>
      </w:r>
    </w:p>
    <w:p>
      <w:pPr>
        <w:pStyle w:val="Style24"/>
        <w:keepNext w:val="0"/>
        <w:keepLines w:val="0"/>
        <w:widowControl w:val="0"/>
        <w:pBdr>
          <w:top w:val="single" w:sz="0" w:space="0" w:color="03080B"/>
          <w:left w:val="single" w:sz="0" w:space="0" w:color="03080B"/>
          <w:bottom w:val="single" w:sz="0" w:space="0" w:color="03080B"/>
          <w:right w:val="single" w:sz="0" w:space="0" w:color="03080B"/>
        </w:pBdr>
        <w:shd w:val="clear" w:color="auto" w:fill="03080B"/>
        <w:spacing w:before="0" w:after="200" w:line="192" w:lineRule="auto"/>
        <w:ind w:left="0" w:right="0" w:firstLine="0"/>
        <w:jc w:val="left"/>
      </w:pPr>
      <w:r>
        <w:rPr>
          <w:rStyle w:val="CharStyle25"/>
          <w:color w:val="656361"/>
        </w:rPr>
        <w:t xml:space="preserve">Voici iho language me NY Je m'écris:</w:t>
      </w:r>
    </w:p>
    <w:p>
      <w:pPr>
        <w:pStyle w:val="Style24"/>
        <w:keepNext w:val="0"/>
        <w:keepLines w:val="0"/>
        <w:widowControl w:val="0"/>
        <w:pBdr>
          <w:top w:val="single" w:sz="0" w:space="0" w:color="03080B"/>
          <w:left w:val="single" w:sz="0" w:space="0" w:color="03080B"/>
          <w:bottom w:val="single" w:sz="0" w:space="0" w:color="03080B"/>
          <w:right w:val="single" w:sz="0" w:space="0" w:color="03080B"/>
        </w:pBdr>
        <w:shd w:val="clear" w:color="auto" w:fill="03080B"/>
        <w:spacing w:before="0" w:after="60" w:line="199" w:lineRule="auto"/>
        <w:ind w:left="0" w:right="0" w:firstLine="0"/>
        <w:jc w:val="left"/>
      </w:pPr>
      <w:r>
        <w:rPr>
          <w:rStyle w:val="CharStyle25"/>
          <w:color w:val="656361"/>
        </w:rPr>
        <w:t xml:space="preserve">«À tous les niveaux de transmission communautaire, toutes les écoles c-m fournissent m- person msi melton {soit full ix hytorici;i. ihmxrgn strict Adhérence io mdlgatitm si ratoffics Les modes d’apprentissage RecorrMnoiKied varient en mitimi/e trak du SARS-CnV-2 (ransmiMton à l’école par nmpliasjjing stratifié rtn(igaitan, ihchjdmg schwii policies rcquii n nj umve rial 4kJ utilisation correcte du masque. Les modes d’apprentissage du fecommenderf (ih’pcrsfln, hytxidj dépendent du niveau de cpnunurily transrntgfrtHl et du strict respect Id mitifl atw i’</w:t>
      </w:r>
    </w:p>
    <w:p>
      <w:pPr>
        <w:pStyle w:val="Style34"/>
        <w:keepNext/>
        <w:keepLines/>
        <w:widowControl w:val="0"/>
        <w:pBdr>
          <w:top w:val="single" w:sz="0" w:space="0" w:color="03080B"/>
          <w:left w:val="single" w:sz="0" w:space="0" w:color="03080B"/>
          <w:bottom w:val="single" w:sz="0" w:space="0" w:color="03080B"/>
          <w:right w:val="single" w:sz="0" w:space="0" w:color="03080B"/>
        </w:pBdr>
        <w:shd w:val="clear" w:color="auto" w:fill="03080B"/>
        <w:spacing w:before="0" w:after="200" w:line="240" w:lineRule="auto"/>
        <w:ind w:left="0" w:right="0" w:firstLine="0"/>
        <w:jc w:val="left"/>
        <w:sectPr>
          <w:footnotePr>
            <w:pos w:val="pageBottom"/>
            <w:numFmt w:val="decimal"/>
            <w:numStart w:val="1454"/>
            <w:numRestart w:val="continuous"/>
            <w15:footnoteColumns w:val="1"/>
          </w:footnotePr>
          <w:pgSz w:w="12485" w:h="16357"/>
          <w:pgMar w:top="1790" w:right="2604" w:bottom="1790" w:left="2052" w:header="1362" w:footer="3" w:gutter="0"/>
          <w:cols w:num="2" w:space="1397"/>
          <w:noEndnote/>
          <w:rtlGutter w:val="0"/>
          <w:docGrid w:linePitch="360"/>
        </w:sectPr>
      </w:pPr>
      <w:bookmarkStart w:id="16" w:name="bookmark16"/>
      <w:r>
        <w:rPr>
          <w:rStyle w:val="CharStyle35"/>
          <w:color w:val="656361"/>
        </w:rPr>
        <w:t xml:space="preserve">Cl o</w:t>
      </w:r>
      <w:bookmarkEnd w:id="16"/>
    </w:p>
    <w:p>
      <w:pPr>
        <w:rPr>
          <w:sz w:val="2"/>
        </w:rPr>
        <w:sectPr>
          <w:footnotePr>
            <w:pos w:val="pageBottom"/>
            <w:numFmt w:val="decimal"/>
            <w:numStart w:val="1454"/>
            <w:numRestart w:val="continuous"/>
            <w15:footnoteColumns w:val="1"/>
          </w:footnotePr>
          <w:type w:val="continuous"/>
          <w:pgSz w:w="12485" w:h="16357"/>
          <w:pgMar w:top="1790" w:right="2604" w:bottom="1790" w:left="2052" w:header="0" w:footer="3" w:gutter="0"/>
          <w:cols w:num="2" w:space="1397"/>
          <w:noEndnote/>
          <w:rtlGutter w:val="0"/>
          <w:docGrid w:linePitch="360"/>
        </w:sectPr>
      </w:pPr>
    </w:p>
    <w:p>
      <w:pPr>
        <w:pStyle w:val="Style24"/>
        <w:keepNext w:val="0"/>
        <w:keepLines w:val="0"/>
        <w:widowControl w:val="0"/>
        <w:shd w:val="clear" w:color="auto" w:fill="auto"/>
        <w:spacing w:before="0" w:after="520"/>
        <w:ind w:left="0" w:right="0" w:firstLine="740"/>
        <w:jc w:val="both"/>
      </w:pPr>
      <w:r>
        <w:rPr>
          <w:rStyle w:val="CharStyle25"/>
        </w:rPr>
        <w:t xml:space="preserve">Peu de temps après l’échange de textes entre Mme Weingarten et le Dr Walensky, Mme Nedrow (Trautner) a envoyé un courriel au Dr Walensky exprimant les préoccupations de l’AFT concernant les orientations et a fourni une autre édition.</w:t>
        <w:footnoteReference w:id="283"/>
        <w:t xml:space="preserve"> Mme Nedrow (Trautner) a déclaré que l’AFT était «profondément préoccupée» par le libellé et a déclaré que l’AFT ne «croyait pas qu’aucune recherche en cours ait démontré que toutes les écoles [...] peuvent rouvrir en toute sécurité».</w:t>
        <w:footnoteReference w:id="284"/>
      </w:r>
    </w:p>
    <w:p>
      <w:pPr>
        <w:pStyle w:val="Style32"/>
        <w:keepNext w:val="0"/>
        <w:keepLines w:val="0"/>
        <w:widowControl w:val="0"/>
        <w:shd w:val="clear" w:color="auto" w:fill="auto"/>
        <w:spacing w:before="0" w:after="0" w:line="240" w:lineRule="auto"/>
        <w:ind w:left="0" w:right="0" w:firstLine="320"/>
        <w:jc w:val="left"/>
        <w:rPr>
          <w:sz w:val="9"/>
        </w:rPr>
      </w:pPr>
      <w:r>
        <mc:AlternateContent>
          <mc:Choice Requires="wps">
            <w:drawing>
              <wp:anchor distT="0" distB="0" distL="114300" distR="114300" simplePos="0" relativeHeight="125829432" behindDoc="0" locked="0" layoutInCell="1" allowOverlap="1">
                <wp:simplePos x="0" y="0"/>
                <wp:positionH relativeFrom="page">
                  <wp:posOffset>1716405</wp:posOffset>
                </wp:positionH>
                <wp:positionV relativeFrom="paragraph">
                  <wp:posOffset>12700</wp:posOffset>
                </wp:positionV>
                <wp:extent cx="228600" cy="295910"/>
                <wp:wrapSquare wrapText="right"/>
                <wp:docPr id="105" name="Forme 105"/>
                <a:graphic xmlns:a="http://schemas.openxmlformats.org/drawingml/2006/main">
                  <a:graphicData uri="http://schemas.microsoft.com/office/word/2010/wordprocessingShape">
                    <wps:wsp>
                      <wps:cNvSpPr txBox="1"/>
                      <wps:spPr>
                        <a:xfrm>
                          <a:ext cx="228600" cy="295910"/>
                        </a:xfrm>
                        <a:prstGeom prst="rect"/>
                        <a:noFill/>
                      </wps:spPr>
                      <wps:txbx>
                        <w:txbxContent>
                          <w:p>
                            <w:pPr>
                              <w:pStyle w:val="Style32"/>
                              <w:keepNext w:val="0"/>
                              <w:keepLines w:val="0"/>
                              <w:widowControl w:val="0"/>
                              <w:shd w:val="clear" w:color="auto" w:fill="auto"/>
                              <w:spacing w:before="0" w:after="0" w:line="341" w:lineRule="auto"/>
                              <w:ind w:left="0" w:right="0" w:firstLine="0"/>
                              <w:jc w:val="left"/>
                            </w:pPr>
                            <w:r>
                              <w:rPr>
                                <w:rStyle w:val="CharStyle33"/>
                                <w:color w:val="303030"/>
                              </w:rPr>
                              <w:t xml:space="preserve">À partir de: Envoyé:</w:t>
                            </w:r>
                          </w:p>
                          <w:p>
                            <w:pPr>
                              <w:pStyle w:val="Style32"/>
                              <w:keepNext w:val="0"/>
                              <w:keepLines w:val="0"/>
                              <w:widowControl w:val="0"/>
                              <w:shd w:val="clear" w:color="auto" w:fill="auto"/>
                              <w:spacing w:before="0" w:after="0" w:line="341" w:lineRule="auto"/>
                              <w:ind w:left="0" w:right="0" w:firstLine="0"/>
                              <w:jc w:val="left"/>
                            </w:pPr>
                            <w:r>
                              <w:rPr>
                                <w:rStyle w:val="CharStyle33"/>
                                <w:color w:val="303030"/>
                              </w:rPr>
                              <w:t>À:</w:t>
                            </w:r>
                          </w:p>
                        </w:txbxContent>
                      </wps:txbx>
                      <wps:bodyPr lIns="0" tIns="0" rIns="0" bIns="0">
                        <a:noAutoFit/>
                      </wps:bodyPr>
                    </wps:wsp>
                  </a:graphicData>
                </a:graphic>
              </wp:anchor>
            </w:drawing>
          </mc:Choice>
        </mc:AlternateContent>
      </w:r>
      <w:r>
        <w:rPr>
          <w:rStyle w:val="CharStyle33"/>
          <w:color w:val="000000"/>
        </w:rPr>
        <w:t xml:space="preserve">Kull/Tr.i..l’!!i hiujl fi </w:t>
      </w:r>
      <w:r>
        <w:rPr>
          <w:rStyle w:val="CharStyle33"/>
          <w:smallCaps/>
          <w:color w:val="000000"/>
          <w:sz w:val="9"/>
        </w:rPr>
        <w:t>Iv.j:-:</w:t>
      </w:r>
    </w:p>
    <w:p>
      <w:pPr>
        <w:pStyle w:val="Style24"/>
        <w:keepNext w:val="0"/>
        <w:keepLines w:val="0"/>
        <w:widowControl w:val="0"/>
        <w:shd w:val="clear" w:color="auto" w:fill="auto"/>
        <w:spacing w:before="0" w:after="0" w:line="166" w:lineRule="auto"/>
        <w:ind w:left="0" w:right="0" w:firstLine="320"/>
        <w:jc w:val="left"/>
        <w:rPr>
          <w:sz w:val="20"/>
        </w:rPr>
      </w:pPr>
      <w:r>
        <w:rPr>
          <w:rStyle w:val="CharStyle25"/>
          <w:color w:val="464648"/>
          <w:sz w:val="20"/>
        </w:rPr>
        <w:t>2/11/2</w:t>
      </w:r>
      <w:r>
        <w:rPr>
          <w:rStyle w:val="CharStyle25"/>
          <w:color w:val="464648"/>
          <w:sz w:val="20"/>
          <w:u w:val="single"/>
        </w:rPr>
        <w:t>0214:25:06</w:t>
      </w:r>
      <w:r>
        <w:rPr>
          <w:rStyle w:val="CharStyle25"/>
          <w:color w:val="464648"/>
          <w:sz w:val="20"/>
        </w:rPr>
        <w:t xml:space="preserve"> PM</w:t>
      </w:r>
    </w:p>
    <w:p>
      <w:pPr>
        <w:pStyle w:val="Style24"/>
        <w:keepNext w:val="0"/>
        <w:keepLines w:val="0"/>
        <w:widowControl w:val="0"/>
        <w:shd w:val="clear" w:color="auto" w:fill="auto"/>
        <w:spacing w:before="0" w:after="160" w:line="166" w:lineRule="auto"/>
        <w:ind w:left="0" w:right="0" w:firstLine="180"/>
        <w:jc w:val="left"/>
        <w:rPr>
          <w:sz w:val="20"/>
        </w:rPr>
      </w:pPr>
      <w:r>
        <mc:AlternateContent>
          <mc:Choice Requires="wps">
            <w:drawing>
              <wp:anchor distT="0" distB="0" distL="0" distR="0" simplePos="0" relativeHeight="125829434" behindDoc="0" locked="0" layoutInCell="1" allowOverlap="1">
                <wp:simplePos x="0" y="0"/>
                <wp:positionH relativeFrom="page">
                  <wp:posOffset>2256155</wp:posOffset>
                </wp:positionH>
                <wp:positionV relativeFrom="paragraph">
                  <wp:posOffset>177800</wp:posOffset>
                </wp:positionV>
                <wp:extent cx="377825" cy="143510"/>
                <wp:wrapSquare wrapText="bothSides"/>
                <wp:docPr id="107" name="Forme 107"/>
                <a:graphic xmlns:a="http://schemas.openxmlformats.org/drawingml/2006/main">
                  <a:graphicData uri="http://schemas.microsoft.com/office/word/2010/wordprocessingShape">
                    <wps:wsp>
                      <wps:cNvSpPr txBox="1"/>
                      <wps:spPr>
                        <a:xfrm>
                          <a:ext cx="377825" cy="143510"/>
                        </a:xfrm>
                        <a:prstGeom prst="rect"/>
                        <a:noFill/>
                      </wps:spPr>
                      <wps:txbx>
                        <w:txbxContent>
                          <w:p>
                            <w:pPr>
                              <w:pStyle w:val="Style24"/>
                              <w:keepNext w:val="0"/>
                              <w:keepLines w:val="0"/>
                              <w:widowControl w:val="0"/>
                              <w:shd w:val="clear" w:color="auto" w:fill="auto"/>
                              <w:spacing w:before="0" w:after="0" w:line="240" w:lineRule="auto"/>
                              <w:ind w:left="0" w:right="0" w:firstLine="0"/>
                              <w:jc w:val="left"/>
                              <w:rPr>
                                <w:sz w:val="20"/>
                              </w:rPr>
                            </w:pPr>
                            <w:r>
                              <w:rPr>
                                <w:rStyle w:val="CharStyle25"/>
                                <w:color w:val="464648"/>
                                <w:sz w:val="20"/>
                              </w:rPr>
                              <w:t>POE/OMS</w:t>
                            </w:r>
                          </w:p>
                        </w:txbxContent>
                      </wps:txbx>
                      <wps:bodyPr wrap="none" lIns="0" tIns="0" rIns="0" bIns="0">
                        <a:noAutoFit/>
                      </wps:bodyPr>
                    </wps:wsp>
                  </a:graphicData>
                </a:graphic>
              </wp:anchor>
            </w:drawing>
          </mc:Choice>
        </mc:AlternateContent>
      </w:r>
      <w:r>
        <w:drawing>
          <wp:anchor distT="231775" distB="12065" distL="1143000" distR="250190" simplePos="0" relativeHeight="125829436" behindDoc="0" locked="0" layoutInCell="1" allowOverlap="1">
            <wp:simplePos x="0" y="0"/>
            <wp:positionH relativeFrom="page">
              <wp:posOffset>4575810</wp:posOffset>
            </wp:positionH>
            <wp:positionV relativeFrom="paragraph">
              <wp:posOffset>244475</wp:posOffset>
            </wp:positionV>
            <wp:extent cx="1200785" cy="189230"/>
            <wp:wrapTight wrapText="left">
              <wp:wrapPolygon>
                <wp:start x="0" y="0"/>
                <wp:lineTo x="21600" y="0"/>
                <wp:lineTo x="21600" y="21600"/>
                <wp:lineTo x="0" y="21600"/>
                <wp:lineTo x="0" y="0"/>
              </wp:wrapPolygon>
            </wp:wrapTight>
            <wp:docPr id="109" name="Forme 109"/>
            <a:graphic xmlns:a="http://schemas.openxmlformats.org/drawingml/2006/main">
              <a:graphicData uri="http://schemas.openxmlformats.org/drawingml/2006/picture">
                <pic:pic xmlns:pic="http://schemas.openxmlformats.org/drawingml/2006/picture">
                  <pic:nvPicPr>
                    <pic:cNvPr id="110" name="Boîte à images 110"/>
                    <pic:cNvPicPr/>
                  </pic:nvPicPr>
                  <pic:blipFill>
                    <a:blip r:embed="rId46"/>
                    <a:stretch/>
                  </pic:blipFill>
                  <pic:spPr>
                    <a:xfrm>
                      <a:ext cx="1200785" cy="189230"/>
                    </a:xfrm>
                    <a:prstGeom prst="rect"/>
                  </pic:spPr>
                </pic:pic>
              </a:graphicData>
            </a:graphic>
          </wp:anchor>
        </w:drawing>
      </w:r>
      <w:r>
        <mc:AlternateContent>
          <mc:Choice Requires="wps">
            <w:drawing>
              <wp:anchor distT="0" distB="0" distL="0" distR="0" simplePos="0" relativeHeight="503316510" behindDoc="0" locked="0" layoutInCell="1" allowOverlap="1">
                <wp:simplePos x="0" y="0"/>
                <wp:positionH relativeFrom="page">
                  <wp:posOffset>4935220</wp:posOffset>
                </wp:positionH>
                <wp:positionV relativeFrom="paragraph">
                  <wp:posOffset>12700</wp:posOffset>
                </wp:positionV>
                <wp:extent cx="655320" cy="118745"/>
                <wp:wrapNone/>
                <wp:docPr id="111" name="Forme 111"/>
                <a:graphic xmlns:a="http://schemas.openxmlformats.org/drawingml/2006/main">
                  <a:graphicData uri="http://schemas.microsoft.com/office/word/2010/wordprocessingShape">
                    <wps:wsp>
                      <wps:cNvSpPr txBox="1"/>
                      <wps:spPr>
                        <a:xfrm>
                          <a:ext cx="655320" cy="118745"/>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0"/>
                              </w:rPr>
                            </w:pPr>
                            <w:r>
                              <w:rPr>
                                <w:rStyle w:val="CharStyle28"/>
                                <w:color w:val="000000"/>
                                <w:sz w:val="10"/>
                              </w:rPr>
                              <w:t xml:space="preserve">!■ </w:t>
                            </w:r>
                            <w:r>
                              <w:rPr>
                                <w:rStyle w:val="CharStyle28"/>
                                <w:color w:val="464648"/>
                                <w:sz w:val="10"/>
                              </w:rPr>
                              <w:t xml:space="preserve">j </w:t>
                            </w:r>
                            <w:r>
                              <w:rPr>
                                <w:rStyle w:val="CharStyle28"/>
                                <w:color w:val="303030"/>
                                <w:sz w:val="10"/>
                              </w:rPr>
                              <w:t xml:space="preserve">Sherri Berger </w:t>
                            </w:r>
                            <w:r>
                              <w:rPr>
                                <w:rStyle w:val="CharStyle28"/>
                                <w:color w:val="464648"/>
                                <w:sz w:val="10"/>
                              </w:rPr>
                              <w:t>j</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12" behindDoc="0" locked="0" layoutInCell="1" allowOverlap="1">
                <wp:simplePos x="0" y="0"/>
                <wp:positionH relativeFrom="page">
                  <wp:posOffset>5115560</wp:posOffset>
                </wp:positionH>
                <wp:positionV relativeFrom="paragraph">
                  <wp:posOffset>122555</wp:posOffset>
                </wp:positionV>
                <wp:extent cx="908050" cy="118745"/>
                <wp:wrapNone/>
                <wp:docPr id="113" name="Forme 113"/>
                <a:graphic xmlns:a="http://schemas.openxmlformats.org/drawingml/2006/main">
                  <a:graphicData uri="http://schemas.microsoft.com/office/word/2010/wordprocessingShape">
                    <wps:wsp>
                      <wps:cNvSpPr txBox="1"/>
                      <wps:spPr>
                        <a:xfrm>
                          <a:ext cx="908050" cy="118745"/>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20"/>
                              </w:rPr>
                            </w:pPr>
                            <w:r>
                              <w:rPr>
                                <w:rStyle w:val="CharStyle28"/>
                                <w:rFonts w:ascii="Times New Roman" w:hAnsi="Times New Roman" w:cs="Times New Roman" w:eastAsia="Times New Roman"/>
                                <w:color w:val="303030"/>
                                <w:sz w:val="20"/>
                              </w:rPr>
                              <w:t xml:space="preserve">Maureen de Tracey-Mooney</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14" behindDoc="0" locked="0" layoutInCell="1" allowOverlap="1">
                <wp:simplePos x="0" y="0"/>
                <wp:positionH relativeFrom="page">
                  <wp:posOffset>3432810</wp:posOffset>
                </wp:positionH>
                <wp:positionV relativeFrom="paragraph">
                  <wp:posOffset>229235</wp:posOffset>
                </wp:positionV>
                <wp:extent cx="1161415" cy="213360"/>
                <wp:wrapNone/>
                <wp:docPr id="115" name="Forme 115"/>
                <a:graphic xmlns:a="http://schemas.openxmlformats.org/drawingml/2006/main">
                  <a:graphicData uri="http://schemas.microsoft.com/office/word/2010/wordprocessingShape">
                    <wps:wsp>
                      <wps:cNvSpPr txBox="1"/>
                      <wps:spPr>
                        <a:xfrm>
                          <a:ext cx="1161415" cy="213360"/>
                        </a:xfrm>
                        <a:prstGeom prst="rect"/>
                        <a:noFill/>
                      </wps:spPr>
                      <wps:txbx>
                        <w:txbxContent>
                          <w:p>
                            <w:pPr>
                              <w:pStyle w:val="Style27"/>
                              <w:keepNext w:val="0"/>
                              <w:keepLines w:val="0"/>
                              <w:widowControl w:val="0"/>
                              <w:shd w:val="clear" w:color="auto" w:fill="auto"/>
                              <w:spacing w:before="0" w:after="0" w:line="166" w:lineRule="auto"/>
                              <w:ind w:left="0" w:right="0" w:firstLine="0"/>
                              <w:jc w:val="right"/>
                              <w:rPr>
                                <w:sz w:val="20"/>
                              </w:rPr>
                            </w:pPr>
                            <w:r>
                              <w:rPr>
                                <w:rStyle w:val="CharStyle28"/>
                                <w:rFonts w:ascii="Times New Roman" w:hAnsi="Times New Roman" w:cs="Times New Roman" w:eastAsia="Times New Roman"/>
                                <w:color w:val="464648"/>
                                <w:sz w:val="20"/>
                              </w:rPr>
                              <w:t xml:space="preserve">Mdntee, Wilk </w:t>
                            </w:r>
                            <w:r>
                              <w:rPr>
                                <w:rStyle w:val="CharStyle28"/>
                                <w:rFonts w:ascii="Times New Roman" w:hAnsi="Times New Roman" w:cs="Times New Roman" w:eastAsia="Times New Roman"/>
                                <w:color w:val="000000"/>
                                <w:sz w:val="20"/>
                              </w:rPr>
                              <w:t xml:space="preserve">I; </w:t>
                            </w:r>
                            <w:r>
                              <w:rPr>
                                <w:rStyle w:val="CharStyle28"/>
                                <w:rFonts w:ascii="Times New Roman" w:hAnsi="Times New Roman" w:cs="Times New Roman" w:eastAsia="Times New Roman"/>
                                <w:color w:val="464648"/>
                                <w:sz w:val="20"/>
                              </w:rPr>
                              <w:t xml:space="preserve">«Okolo, Osaremen </w:t>
                            </w:r>
                            <w:r>
                              <w:rPr>
                                <w:rStyle w:val="CharStyle28"/>
                                <w:rFonts w:ascii="Times New Roman" w:hAnsi="Times New Roman" w:cs="Times New Roman" w:eastAsia="Times New Roman"/>
                                <w:color w:val="000000"/>
                                <w:sz w:val="20"/>
                              </w:rPr>
                              <w:t xml:space="preserve">F. </w:t>
                            </w:r>
                            <w:r>
                              <w:rPr>
                                <w:rStyle w:val="CharStyle28"/>
                                <w:rFonts w:ascii="Times New Roman" w:hAnsi="Times New Roman" w:cs="Times New Roman" w:eastAsia="Times New Roman"/>
                                <w:color w:val="464648"/>
                                <w:sz w:val="20"/>
                              </w:rPr>
                              <w:t>EOP/OMS</w:t>
                            </w:r>
                            <w:r>
                              <w:rPr>
                                <w:rStyle w:val="CharStyle28"/>
                                <w:rFonts w:ascii="Times New Roman" w:hAnsi="Times New Roman" w:cs="Times New Roman" w:eastAsia="Times New Roman"/>
                                <w:color w:val="464648"/>
                                <w:sz w:val="20"/>
                                <w:vertAlign w:val="superscript"/>
                              </w:rPr>
                              <w:t>r</w:t>
                            </w:r>
                          </w:p>
                        </w:txbxContent>
                      </wps:txbx>
                      <wps:bodyPr lIns="0" tIns="0" rIns="0" bIns="0">
                        <a:noAutoFit/>
                      </wps:bodyPr>
                    </wps:wsp>
                  </a:graphicData>
                </a:graphic>
              </wp:anchor>
            </w:drawing>
          </mc:Choice>
        </mc:AlternateContent>
      </w:r>
      <w:r>
        <mc:AlternateContent>
          <mc:Choice Requires="wps">
            <w:drawing>
              <wp:anchor distT="0" distB="0" distL="114300" distR="114300" simplePos="0" relativeHeight="125829437" behindDoc="0" locked="0" layoutInCell="1" allowOverlap="1">
                <wp:simplePos x="0" y="0"/>
                <wp:positionH relativeFrom="page">
                  <wp:posOffset>5755005</wp:posOffset>
                </wp:positionH>
                <wp:positionV relativeFrom="paragraph">
                  <wp:posOffset>330200</wp:posOffset>
                </wp:positionV>
                <wp:extent cx="396240" cy="158750"/>
                <wp:wrapTopAndBottom/>
                <wp:docPr id="117" name="Forme 117"/>
                <a:graphic xmlns:a="http://schemas.openxmlformats.org/drawingml/2006/main">
                  <a:graphicData uri="http://schemas.microsoft.com/office/word/2010/wordprocessingShape">
                    <wps:wsp>
                      <wps:cNvSpPr txBox="1"/>
                      <wps:spPr>
                        <a:xfrm>
                          <a:ext cx="396240" cy="158750"/>
                        </a:xfrm>
                        <a:prstGeom prst="rect"/>
                        <a:noFill/>
                      </wps:spPr>
                      <wps:txbx>
                        <w:txbxContent>
                          <w:p>
                            <w:pPr>
                              <w:pStyle w:val="Style24"/>
                              <w:keepNext w:val="0"/>
                              <w:keepLines w:val="0"/>
                              <w:widowControl w:val="0"/>
                              <w:shd w:val="clear" w:color="auto" w:fill="auto"/>
                              <w:spacing w:before="0" w:after="0" w:line="240" w:lineRule="auto"/>
                              <w:ind w:left="0" w:right="0" w:firstLine="0"/>
                              <w:jc w:val="left"/>
                              <w:rPr>
                                <w:sz w:val="20"/>
                              </w:rPr>
                            </w:pPr>
                            <w:r>
                              <w:rPr>
                                <w:rStyle w:val="CharStyle25"/>
                                <w:color w:val="464648"/>
                                <w:sz w:val="20"/>
                              </w:rPr>
                              <w:t xml:space="preserve">; Gonzalez,</w:t>
                            </w:r>
                          </w:p>
                        </w:txbxContent>
                      </wps:txbx>
                      <wps:bodyPr wrap="none" lIns="0" tIns="0" rIns="0" bIns="0">
                        <a:noAutoFit/>
                      </wps:bodyPr>
                    </wps:wsp>
                  </a:graphicData>
                </a:graphic>
              </wp:anchor>
            </w:drawing>
          </mc:Choice>
        </mc:AlternateContent>
      </w:r>
      <w:r>
        <mc:AlternateContent>
          <mc:Choice Requires="wps">
            <w:drawing>
              <wp:anchor distT="0" distB="0" distL="114300" distR="114300" simplePos="0" relativeHeight="125829439" behindDoc="0" locked="0" layoutInCell="1" allowOverlap="1">
                <wp:simplePos x="0" y="0"/>
                <wp:positionH relativeFrom="page">
                  <wp:posOffset>2256155</wp:posOffset>
                </wp:positionH>
                <wp:positionV relativeFrom="paragraph">
                  <wp:posOffset>419100</wp:posOffset>
                </wp:positionV>
                <wp:extent cx="2294890" cy="417830"/>
                <wp:wrapSquare wrapText="left"/>
                <wp:docPr id="119" name="Forme 119"/>
                <a:graphic xmlns:a="http://schemas.openxmlformats.org/drawingml/2006/main">
                  <a:graphicData uri="http://schemas.microsoft.com/office/word/2010/wordprocessingShape">
                    <wps:wsp>
                      <wps:cNvSpPr txBox="1"/>
                      <wps:spPr>
                        <a:xfrm>
                          <a:ext cx="2294890" cy="417830"/>
                        </a:xfrm>
                        <a:prstGeom prst="rect"/>
                        <a:noFill/>
                      </wps:spPr>
                      <wps:txbx>
                        <w:txbxContent>
                          <w:p>
                            <w:pPr>
                              <w:pStyle w:val="Style32"/>
                              <w:keepNext w:val="0"/>
                              <w:keepLines w:val="0"/>
                              <w:widowControl w:val="0"/>
                              <w:shd w:val="clear" w:color="auto" w:fill="auto"/>
                              <w:spacing w:before="0" w:after="0" w:line="240" w:lineRule="auto"/>
                              <w:ind w:left="0" w:right="0" w:firstLine="0"/>
                              <w:jc w:val="left"/>
                            </w:pPr>
                            <w:r>
                              <w:rPr>
                                <w:rStyle w:val="CharStyle33"/>
                                <w:color w:val="303030"/>
                              </w:rPr>
                              <w:t xml:space="preserve">Noe EOP/OMS</w:t>
                            </w:r>
                          </w:p>
                          <w:p>
                            <w:pPr>
                              <w:pStyle w:val="Style24"/>
                              <w:keepNext w:val="0"/>
                              <w:keepLines w:val="0"/>
                              <w:widowControl w:val="0"/>
                              <w:shd w:val="clear" w:color="auto" w:fill="auto"/>
                              <w:spacing w:before="0" w:after="0" w:line="180" w:lineRule="auto"/>
                              <w:ind w:left="0" w:right="0" w:firstLine="0"/>
                              <w:jc w:val="left"/>
                              <w:rPr>
                                <w:sz w:val="20"/>
                              </w:rPr>
                            </w:pPr>
                            <w:r>
                              <w:rPr>
                                <w:rStyle w:val="CharStyle25"/>
                                <w:color w:val="464648"/>
                                <w:sz w:val="20"/>
                              </w:rPr>
                              <w:t xml:space="preserve">Randi Weingarten, Cabinet du Président </w:t>
                            </w:r>
                            <w:r>
                              <w:rPr>
                                <w:rStyle w:val="CharStyle25"/>
                                <w:sz w:val="20"/>
                              </w:rPr>
                              <w:t xml:space="preserve">HHHm </w:t>
                            </w:r>
                            <w:r>
                              <w:rPr>
                                <w:rStyle w:val="CharStyle25"/>
                                <w:color w:val="464648"/>
                                <w:sz w:val="20"/>
                              </w:rPr>
                              <w:t>Jane</w:t>
                            </w:r>
                          </w:p>
                          <w:p>
                            <w:pPr>
                              <w:pStyle w:val="Style24"/>
                              <w:keepNext w:val="0"/>
                              <w:keepLines w:val="0"/>
                              <w:widowControl w:val="0"/>
                              <w:shd w:val="clear" w:color="auto" w:fill="auto"/>
                              <w:tabs>
                                <w:tab w:pos="2194" w:val="left"/>
                              </w:tabs>
                              <w:spacing w:before="0" w:after="0" w:line="180" w:lineRule="auto"/>
                              <w:ind w:left="0" w:right="0" w:firstLine="0"/>
                              <w:jc w:val="left"/>
                              <w:rPr>
                                <w:sz w:val="20"/>
                              </w:rPr>
                            </w:pPr>
                            <w:r>
                              <w:rPr>
                                <w:rStyle w:val="CharStyle25"/>
                                <w:color w:val="464648"/>
                                <w:sz w:val="20"/>
                              </w:rPr>
                              <w:t xml:space="preserve">Catégorie: Ucelli-Kashyap </w:t>
                            </w:r>
                            <w:r>
                              <w:rPr>
                                <w:rStyle w:val="CharStyle25"/>
                                <w:color w:val="303030"/>
                                <w:sz w:val="20"/>
                              </w:rPr>
                              <w:t xml:space="preserve">Beth Antunez. </w:t>
                            </w:r>
                            <w:r>
                              <w:rPr>
                                <w:rStyle w:val="CharStyle25"/>
                                <w:color w:val="464648"/>
                                <w:sz w:val="20"/>
                              </w:rPr>
                              <w:t>Législation</w:t>
                            </w:r>
                          </w:p>
                          <w:p>
                            <w:pPr>
                              <w:pStyle w:val="Style24"/>
                              <w:keepNext w:val="0"/>
                              <w:keepLines w:val="0"/>
                              <w:widowControl w:val="0"/>
                              <w:shd w:val="clear" w:color="auto" w:fill="auto"/>
                              <w:spacing w:before="0" w:after="0" w:line="180" w:lineRule="auto"/>
                              <w:ind w:left="0" w:right="0" w:firstLine="0"/>
                              <w:jc w:val="left"/>
                              <w:rPr>
                                <w:sz w:val="20"/>
                              </w:rPr>
                            </w:pPr>
                            <w:r>
                              <w:rPr>
                                <w:rStyle w:val="CharStyle25"/>
                                <w:color w:val="303030"/>
                                <w:sz w:val="20"/>
                              </w:rPr>
                              <w:t xml:space="preserve">RE : </w:t>
                            </w:r>
                            <w:r>
                              <w:rPr>
                                <w:rStyle w:val="CharStyle25"/>
                                <w:color w:val="303030"/>
                                <w:sz w:val="20"/>
                              </w:rPr>
                              <w:t>Suivi</w:t>
                            </w:r>
                            <w:r>
                              <w:rPr>
                                <w:rStyle w:val="CharStyle25"/>
                                <w:color w:val="303030"/>
                                <w:sz w:val="20"/>
                              </w:rPr>
                              <w:t xml:space="preserve">de l'AFT</w:t>
                            </w:r>
                          </w:p>
                        </w:txbxContent>
                      </wps:txbx>
                      <wps:bodyPr lIns="0" tIns="0" rIns="0" bIns="0">
                        <a:noAutoFit/>
                      </wps:bodyPr>
                    </wps:wsp>
                  </a:graphicData>
                </a:graphic>
              </wp:anchor>
            </w:drawing>
          </mc:Choice>
        </mc:AlternateContent>
      </w:r>
      <w:r>
        <w:rPr>
          <w:rStyle w:val="CharStyle25"/>
          <w:color w:val="464648"/>
          <w:sz w:val="20"/>
        </w:rPr>
        <w:t xml:space="preserve">L^b^^^k^hnson, Caroie A. EOP/WHO i </w:t>
      </w:r>
      <w:r>
        <w:rPr>
          <w:rStyle w:val="CharStyle25"/>
          <w:sz w:val="20"/>
        </w:rPr>
        <w:t xml:space="preserve">Dawn O'Connell ; </w:t>
      </w:r>
      <w:r>
        <w:rPr>
          <w:rStyle w:val="CharStyle25"/>
          <w:color w:val="464648"/>
          <w:sz w:val="20"/>
        </w:rPr>
        <w:t xml:space="preserve">Martin, Carmel POE/OMS</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303030"/>
          <w:sz w:val="20"/>
        </w:rPr>
        <w:t xml:space="preserve">CC :</w:t>
      </w:r>
    </w:p>
    <w:p>
      <w:pPr>
        <w:pStyle w:val="Style32"/>
        <w:keepNext w:val="0"/>
        <w:keepLines w:val="0"/>
        <w:widowControl w:val="0"/>
        <w:shd w:val="clear" w:color="auto" w:fill="auto"/>
        <w:spacing w:before="0" w:after="340" w:line="240" w:lineRule="auto"/>
        <w:ind w:left="1120" w:right="0" w:firstLine="0"/>
        <w:jc w:val="left"/>
      </w:pPr>
      <w:r>
        <w:rPr>
          <w:rStyle w:val="CharStyle33"/>
          <w:color w:val="303030"/>
        </w:rPr>
        <w:t>Objet:</w:t>
      </w:r>
    </w:p>
    <w:p>
      <w:pPr>
        <w:pStyle w:val="Style24"/>
        <w:keepNext w:val="0"/>
        <w:keepLines w:val="0"/>
        <w:widowControl w:val="0"/>
        <w:shd w:val="clear" w:color="auto" w:fill="auto"/>
        <w:spacing w:before="0" w:after="0" w:line="180" w:lineRule="auto"/>
        <w:ind w:left="1120" w:right="0" w:firstLine="0"/>
        <w:jc w:val="left"/>
        <w:rPr>
          <w:sz w:val="20"/>
        </w:rPr>
      </w:pPr>
      <w:r>
        <w:rPr>
          <w:rStyle w:val="CharStyle25"/>
          <w:color w:val="303030"/>
          <w:sz w:val="20"/>
        </w:rPr>
        <w:t xml:space="preserve">Dr Walensky: </w:t>
      </w:r>
    </w:p>
    <w:p>
      <w:pPr>
        <w:pStyle w:val="Style24"/>
        <w:keepNext w:val="0"/>
        <w:keepLines w:val="0"/>
        <w:widowControl w:val="0"/>
        <w:shd w:val="clear" w:color="auto" w:fill="auto"/>
        <w:spacing w:before="0" w:after="160" w:line="180" w:lineRule="auto"/>
        <w:ind w:left="1120" w:right="0" w:firstLine="0"/>
        <w:jc w:val="left"/>
        <w:rPr>
          <w:sz w:val="20"/>
        </w:rPr>
      </w:pPr>
      <w:r>
        <w:rPr>
          <w:rStyle w:val="CharStyle25"/>
          <w:color w:val="464648"/>
          <w:sz w:val="20"/>
        </w:rPr>
        <w:t xml:space="preserve">Nous vous remercions de votre ouverture continue à l'égard de nos suggestions et de nos commentaires. </w:t>
      </w:r>
      <w:r>
        <w:rPr>
          <w:rStyle w:val="CharStyle25"/>
          <w:color w:val="303030"/>
          <w:sz w:val="20"/>
        </w:rPr>
        <w:t xml:space="preserve">Nous </w:t>
      </w:r>
      <w:r>
        <w:rPr>
          <w:rStyle w:val="CharStyle25"/>
          <w:color w:val="464648"/>
          <w:sz w:val="20"/>
        </w:rPr>
        <w:t xml:space="preserve">voudrions partager quelques réflexions concernant </w:t>
      </w:r>
      <w:r>
        <w:rPr>
          <w:rStyle w:val="CharStyle25"/>
          <w:color w:val="303030"/>
          <w:sz w:val="20"/>
        </w:rPr>
        <w:t xml:space="preserve">le </w:t>
      </w:r>
      <w:r>
        <w:rPr>
          <w:rStyle w:val="CharStyle25"/>
          <w:color w:val="464648"/>
          <w:sz w:val="20"/>
        </w:rPr>
        <w:t xml:space="preserve">paragraphe </w:t>
      </w:r>
      <w:r>
        <w:rPr>
          <w:rStyle w:val="CharStyle25"/>
          <w:color w:val="303030"/>
          <w:sz w:val="20"/>
        </w:rPr>
        <w:t xml:space="preserve">ci-dessous </w:t>
      </w:r>
      <w:r>
        <w:rPr>
          <w:rStyle w:val="CharStyle25"/>
          <w:color w:val="464648"/>
          <w:sz w:val="20"/>
        </w:rPr>
        <w:t xml:space="preserve">qui a apparemment été divulgué </w:t>
      </w:r>
      <w:r>
        <w:rPr>
          <w:rStyle w:val="CharStyle25"/>
          <w:color w:val="303030"/>
          <w:sz w:val="20"/>
        </w:rPr>
        <w:t xml:space="preserve">à partir des directives imminentes </w:t>
      </w:r>
      <w:r>
        <w:rPr>
          <w:rStyle w:val="CharStyle25"/>
          <w:color w:val="464648"/>
          <w:sz w:val="20"/>
        </w:rPr>
        <w:t xml:space="preserve"> </w:t>
      </w:r>
      <w:r>
        <w:rPr>
          <w:rStyle w:val="CharStyle25"/>
          <w:color w:val="303030"/>
          <w:sz w:val="20"/>
        </w:rPr>
        <w:t xml:space="preserve">sur la </w:t>
      </w:r>
      <w:r>
        <w:rPr>
          <w:rStyle w:val="CharStyle25"/>
          <w:color w:val="464648"/>
          <w:sz w:val="20"/>
        </w:rPr>
        <w:t xml:space="preserve">réouverture des écoles;</w:t>
      </w:r>
    </w:p>
    <w:p>
      <w:pPr>
        <w:pStyle w:val="Style24"/>
        <w:keepNext w:val="0"/>
        <w:keepLines w:val="0"/>
        <w:widowControl w:val="0"/>
        <w:shd w:val="clear" w:color="auto" w:fill="auto"/>
        <w:spacing w:before="0" w:after="160" w:line="182" w:lineRule="auto"/>
        <w:ind w:left="1120" w:right="0" w:firstLine="0"/>
        <w:jc w:val="left"/>
        <w:rPr>
          <w:sz w:val="20"/>
        </w:rPr>
      </w:pPr>
      <w:r>
        <w:rPr>
          <w:rStyle w:val="CharStyle25"/>
          <w:color w:val="303030"/>
          <w:sz w:val="20"/>
        </w:rPr>
        <w:t xml:space="preserve">«À tous les niveaux de transmission communautaire, toutes les écoles peuvent dispenser un enseignement en personne (complet ou hybride), en respectant strictement les stratégies d’atténuation. Les modes d'apprentissage recommandés varient pour minimiser le risque de transmission du SARS-CoV-2 à l'école en mettant l'accent sur l'atténuation à plusieurs niveaux, y compris les politiques scolaires exigeant l'utilisation universelle et correcte du masque. Les modes d’apprentissage recommandés (en présentiel, hybrides) dépendent du niveau de transmission communautaire et du strict respect des mesures d’atténuation.»</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303030"/>
          <w:sz w:val="20"/>
        </w:rPr>
        <w:t xml:space="preserve">Il serait bon de voir l'insertion d'une certaine variation de ce qui suit: «Dans le cas où la transmission à haute communauté résulterait d’une nouvelle variante du SARS-CoV-2, une nouvelle mise à jour de ces lignes directrices pourrait s’avérer nécessaire.»</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303030"/>
          <w:sz w:val="20"/>
        </w:rPr>
        <w:t xml:space="preserve">Nous sommes profondément préoccupés par les implications probables de ce langage dans les écoles où le strict respect des stratégies d'atténuation fait défaut ou est impossible à mettre en œuvre, en particulier dans les écoles situées dans des zones d'infrastructure à forte densité et en ruine, et en particulier lorsque la transmission communautaire est élevée. Nous ne croyons pas qu'aucune recherche actuelle ait démontré que toutes les écoles de ces régions peuvent rouvrir en toute sécurité.</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464648"/>
          <w:sz w:val="20"/>
        </w:rPr>
        <w:t xml:space="preserve">À </w:t>
      </w:r>
      <w:r>
        <w:rPr>
          <w:rStyle w:val="CharStyle25"/>
          <w:color w:val="464648"/>
          <w:sz w:val="20"/>
        </w:rPr>
        <w:t>la</w:t>
      </w:r>
      <w:r>
        <w:rPr>
          <w:rStyle w:val="CharStyle25"/>
          <w:color w:val="303030"/>
          <w:sz w:val="20"/>
        </w:rPr>
        <w:t xml:space="preserve">lumière </w:t>
      </w:r>
      <w:r>
        <w:rPr>
          <w:rStyle w:val="CharStyle25"/>
          <w:color w:val="464648"/>
          <w:sz w:val="20"/>
        </w:rPr>
        <w:t xml:space="preserve">des </w:t>
      </w:r>
      <w:r>
        <w:rPr>
          <w:rStyle w:val="CharStyle25"/>
          <w:color w:val="303030"/>
          <w:sz w:val="20"/>
        </w:rPr>
        <w:t xml:space="preserve">nouveaux variants </w:t>
      </w:r>
      <w:r>
        <w:rPr>
          <w:rStyle w:val="CharStyle25"/>
          <w:color w:val="464648"/>
          <w:sz w:val="20"/>
        </w:rPr>
        <w:t xml:space="preserve">du </w:t>
      </w:r>
      <w:r>
        <w:rPr>
          <w:rStyle w:val="CharStyle25"/>
          <w:color w:val="303030"/>
          <w:sz w:val="20"/>
        </w:rPr>
        <w:t xml:space="preserve">virus, </w:t>
      </w:r>
      <w:r>
        <w:rPr>
          <w:rStyle w:val="CharStyle25"/>
          <w:color w:val="464648"/>
          <w:sz w:val="20"/>
        </w:rPr>
        <w:t xml:space="preserve"> </w:t>
      </w:r>
      <w:r>
        <w:rPr>
          <w:rStyle w:val="CharStyle25"/>
          <w:color w:val="303030"/>
          <w:sz w:val="20"/>
        </w:rPr>
        <w:t xml:space="preserve">nous craignons</w:t>
      </w:r>
      <w:r>
        <w:rPr>
          <w:rStyle w:val="CharStyle25"/>
          <w:color w:val="464648"/>
          <w:sz w:val="20"/>
        </w:rPr>
        <w:t xml:space="preserve"> </w:t>
      </w:r>
      <w:r>
        <w:rPr>
          <w:rStyle w:val="CharStyle25"/>
          <w:color w:val="303030"/>
          <w:sz w:val="20"/>
        </w:rPr>
        <w:t xml:space="preserve">que </w:t>
      </w:r>
      <w:r>
        <w:rPr>
          <w:rStyle w:val="CharStyle25"/>
          <w:color w:val="303030"/>
          <w:sz w:val="20"/>
        </w:rPr>
        <w:t xml:space="preserve">l'absence </w:t>
      </w:r>
      <w:r>
        <w:rPr>
          <w:rStyle w:val="CharStyle25"/>
          <w:color w:val="464648"/>
          <w:sz w:val="20"/>
        </w:rPr>
        <w:t>d'un</w:t>
      </w:r>
      <w:r>
        <w:rPr>
          <w:rStyle w:val="CharStyle25"/>
          <w:color w:val="303030"/>
          <w:sz w:val="20"/>
        </w:rPr>
        <w:t xml:space="preserve"> </w:t>
      </w:r>
      <w:r>
        <w:rPr>
          <w:rStyle w:val="CharStyle25"/>
          <w:color w:val="464648"/>
          <w:sz w:val="20"/>
        </w:rPr>
        <w:t xml:space="preserve">seuil de </w:t>
      </w:r>
      <w:r>
        <w:rPr>
          <w:rStyle w:val="CharStyle25"/>
          <w:color w:val="464648"/>
          <w:sz w:val="20"/>
        </w:rPr>
        <w:t xml:space="preserve">fermeture ne </w:t>
      </w:r>
      <w:r>
        <w:rPr>
          <w:rStyle w:val="CharStyle25"/>
          <w:color w:val="303030"/>
          <w:sz w:val="20"/>
        </w:rPr>
        <w:t xml:space="preserve">mette la sécurité </w:t>
      </w:r>
      <w:r>
        <w:rPr>
          <w:rStyle w:val="CharStyle25"/>
          <w:color w:val="464648"/>
          <w:sz w:val="20"/>
        </w:rPr>
        <w:t xml:space="preserve">des adultes et des enfants en milieu scolaire. Il n'y a pas encore de recherche concluante pour soutenir que le maintien des écoles ouvertes dans ces pays aurait été une décision sûre, bien que </w:t>
      </w:r>
      <w:r>
        <w:rPr>
          <w:rStyle w:val="CharStyle25"/>
          <w:color w:val="303030"/>
          <w:sz w:val="20"/>
        </w:rPr>
        <w:t xml:space="preserve">le </w:t>
      </w:r>
      <w:r>
        <w:rPr>
          <w:rStyle w:val="CharStyle25"/>
          <w:color w:val="303030"/>
          <w:sz w:val="20"/>
        </w:rPr>
        <w:t xml:space="preserve">modèle </w:t>
      </w:r>
      <w:r>
        <w:rPr>
          <w:rStyle w:val="CharStyle25"/>
          <w:color w:val="464648"/>
          <w:sz w:val="20"/>
        </w:rPr>
        <w:t>impérial</w:t>
      </w:r>
      <w:r>
        <w:rPr>
          <w:rStyle w:val="CharStyle25"/>
          <w:color w:val="303030"/>
          <w:sz w:val="20"/>
        </w:rPr>
        <w:t xml:space="preserve">de Londres </w:t>
      </w:r>
      <w:r>
        <w:rPr>
          <w:rStyle w:val="CharStyle25"/>
          <w:color w:val="464648"/>
          <w:sz w:val="20"/>
        </w:rPr>
        <w:t xml:space="preserve">semble </w:t>
      </w:r>
      <w:r>
        <w:rPr>
          <w:rStyle w:val="CharStyle25"/>
          <w:color w:val="464648"/>
          <w:sz w:val="20"/>
        </w:rPr>
        <w:t xml:space="preserve">montrer </w:t>
      </w:r>
      <w:r>
        <w:rPr>
          <w:rStyle w:val="CharStyle25"/>
          <w:color w:val="464648"/>
          <w:sz w:val="20"/>
        </w:rPr>
        <w:t xml:space="preserve">que les infections chez les</w:t>
      </w:r>
      <w:r>
        <w:rPr>
          <w:rStyle w:val="CharStyle25"/>
          <w:color w:val="303030"/>
          <w:sz w:val="20"/>
        </w:rPr>
        <w:t xml:space="preserve">élèves </w:t>
      </w:r>
      <w:r>
        <w:rPr>
          <w:rStyle w:val="CharStyle25"/>
          <w:color w:val="464648"/>
          <w:sz w:val="20"/>
        </w:rPr>
        <w:t xml:space="preserve">du secondaire </w:t>
      </w:r>
      <w:r>
        <w:rPr>
          <w:rStyle w:val="CharStyle25"/>
          <w:color w:val="464648"/>
          <w:sz w:val="20"/>
        </w:rPr>
        <w:t xml:space="preserve">au </w:t>
      </w:r>
      <w:r>
        <w:rPr>
          <w:rStyle w:val="CharStyle25"/>
          <w:color w:val="303030"/>
          <w:sz w:val="20"/>
        </w:rPr>
        <w:t xml:space="preserve">Royaume-Uni </w:t>
      </w:r>
      <w:r>
        <w:rPr>
          <w:rStyle w:val="CharStyle25"/>
          <w:color w:val="464648"/>
          <w:sz w:val="20"/>
        </w:rPr>
        <w:t xml:space="preserve">ont augmenté lorsque </w:t>
      </w:r>
      <w:r>
        <w:rPr>
          <w:rStyle w:val="CharStyle25"/>
          <w:color w:val="303030"/>
          <w:sz w:val="20"/>
        </w:rPr>
        <w:t xml:space="preserve">la </w:t>
      </w:r>
      <w:r>
        <w:rPr>
          <w:rStyle w:val="CharStyle25"/>
          <w:color w:val="464648"/>
          <w:sz w:val="20"/>
        </w:rPr>
        <w:t xml:space="preserve">nouvelle variante </w:t>
      </w:r>
      <w:r>
        <w:rPr>
          <w:rStyle w:val="CharStyle25"/>
          <w:color w:val="303030"/>
          <w:sz w:val="20"/>
        </w:rPr>
        <w:t xml:space="preserve">a commencé </w:t>
      </w:r>
      <w:r>
        <w:rPr>
          <w:rStyle w:val="CharStyle25"/>
          <w:color w:val="464648"/>
          <w:sz w:val="20"/>
        </w:rPr>
        <w:t xml:space="preserve">à </w:t>
      </w:r>
      <w:r>
        <w:rPr>
          <w:rStyle w:val="CharStyle25"/>
          <w:color w:val="303030"/>
          <w:sz w:val="20"/>
        </w:rPr>
        <w:t xml:space="preserve">se propager. Et </w:t>
      </w:r>
      <w:r>
        <w:rPr>
          <w:rStyle w:val="CharStyle25"/>
          <w:color w:val="464648"/>
          <w:sz w:val="20"/>
        </w:rPr>
        <w:t xml:space="preserve">nous </w:t>
      </w:r>
      <w:r>
        <w:rPr>
          <w:rStyle w:val="CharStyle25"/>
          <w:color w:val="464648"/>
          <w:sz w:val="20"/>
        </w:rPr>
        <w:t>savons</w:t>
      </w:r>
      <w:r>
        <w:rPr>
          <w:rStyle w:val="CharStyle25"/>
          <w:color w:val="303030"/>
          <w:sz w:val="20"/>
        </w:rPr>
        <w:t xml:space="preserve">également </w:t>
      </w:r>
      <w:r>
        <w:rPr>
          <w:rStyle w:val="CharStyle25"/>
          <w:color w:val="464648"/>
          <w:sz w:val="20"/>
        </w:rPr>
        <w:t xml:space="preserve">que, bien que les taux</w:t>
      </w:r>
      <w:r>
        <w:rPr>
          <w:rStyle w:val="CharStyle25"/>
          <w:color w:val="464648"/>
          <w:sz w:val="20"/>
        </w:rPr>
        <w:t xml:space="preserve">d'infection </w:t>
      </w:r>
      <w:r>
        <w:rPr>
          <w:rStyle w:val="CharStyle25"/>
          <w:color w:val="303030"/>
          <w:sz w:val="20"/>
        </w:rPr>
        <w:t xml:space="preserve">commencent </w:t>
      </w:r>
      <w:r>
        <w:rPr>
          <w:rStyle w:val="CharStyle25"/>
          <w:color w:val="464648"/>
          <w:sz w:val="20"/>
        </w:rPr>
        <w:t xml:space="preserve">à baisser, la variante BII7 devrait provoquer </w:t>
      </w:r>
      <w:r>
        <w:rPr>
          <w:rStyle w:val="CharStyle25"/>
          <w:color w:val="303030"/>
          <w:sz w:val="20"/>
        </w:rPr>
        <w:t xml:space="preserve">une </w:t>
      </w:r>
      <w:r>
        <w:rPr>
          <w:rStyle w:val="CharStyle25"/>
          <w:color w:val="464648"/>
          <w:sz w:val="20"/>
        </w:rPr>
        <w:t xml:space="preserve">forte hausse des infections - </w:t>
      </w:r>
      <w:r>
        <w:rPr>
          <w:rStyle w:val="CharStyle25"/>
          <w:color w:val="464648"/>
          <w:sz w:val="20"/>
        </w:rPr>
        <w:t xml:space="preserve">devenant </w:t>
      </w:r>
      <w:r>
        <w:rPr>
          <w:rStyle w:val="CharStyle25"/>
          <w:color w:val="303030"/>
          <w:sz w:val="20"/>
        </w:rPr>
        <w:t xml:space="preserve">même </w:t>
      </w:r>
      <w:r>
        <w:rPr>
          <w:rStyle w:val="CharStyle25"/>
          <w:color w:val="303030"/>
          <w:sz w:val="20"/>
        </w:rPr>
        <w:t xml:space="preserve">la </w:t>
      </w:r>
      <w:r>
        <w:rPr>
          <w:rStyle w:val="CharStyle25"/>
          <w:color w:val="464648"/>
          <w:sz w:val="20"/>
        </w:rPr>
        <w:t xml:space="preserve">variante prédominante </w:t>
      </w:r>
      <w:r>
        <w:rPr>
          <w:rStyle w:val="CharStyle25"/>
          <w:color w:val="303030"/>
          <w:sz w:val="20"/>
        </w:rPr>
        <w:t xml:space="preserve">d'ici </w:t>
      </w:r>
      <w:r>
        <w:rPr>
          <w:rStyle w:val="CharStyle25"/>
          <w:color w:val="464648"/>
          <w:sz w:val="20"/>
        </w:rPr>
        <w:t xml:space="preserve">mars. Le </w:t>
      </w:r>
      <w:r>
        <w:rPr>
          <w:rStyle w:val="CharStyle25"/>
          <w:color w:val="303030"/>
          <w:sz w:val="20"/>
        </w:rPr>
        <w:t xml:space="preserve">Royaume-Uni </w:t>
      </w:r>
      <w:r>
        <w:rPr>
          <w:rStyle w:val="CharStyle25"/>
          <w:color w:val="464648"/>
          <w:sz w:val="20"/>
        </w:rPr>
        <w:t xml:space="preserve">a été </w:t>
      </w:r>
      <w:r>
        <w:rPr>
          <w:rStyle w:val="CharStyle25"/>
          <w:color w:val="303030"/>
          <w:sz w:val="20"/>
        </w:rPr>
        <w:t xml:space="preserve">contraint </w:t>
      </w:r>
      <w:r>
        <w:rPr>
          <w:rStyle w:val="CharStyle25"/>
          <w:color w:val="464648"/>
          <w:sz w:val="20"/>
        </w:rPr>
        <w:t xml:space="preserve">de fermer des écoles à la suite de la</w:t>
      </w:r>
      <w:r>
        <w:rPr>
          <w:rStyle w:val="CharStyle25"/>
          <w:color w:val="303030"/>
          <w:sz w:val="20"/>
        </w:rPr>
        <w:t xml:space="preserve">propagation de la variante; </w:t>
      </w:r>
      <w:r>
        <w:rPr>
          <w:rStyle w:val="CharStyle25"/>
          <w:color w:val="464648"/>
          <w:sz w:val="20"/>
        </w:rPr>
        <w:t xml:space="preserve"> </w:t>
      </w:r>
      <w:r>
        <w:rPr>
          <w:rStyle w:val="CharStyle25"/>
          <w:color w:val="464648"/>
          <w:sz w:val="20"/>
        </w:rPr>
        <w:t>L'Allemagne</w:t>
      </w:r>
      <w:r>
        <w:rPr>
          <w:rStyle w:val="CharStyle25"/>
          <w:color w:val="303030"/>
          <w:sz w:val="20"/>
        </w:rPr>
        <w:t xml:space="preserve"> </w:t>
      </w:r>
      <w:r>
        <w:rPr>
          <w:rStyle w:val="CharStyle25"/>
          <w:color w:val="464648"/>
          <w:sz w:val="20"/>
        </w:rPr>
        <w:t xml:space="preserve">a dû prendre </w:t>
      </w:r>
      <w:r>
        <w:rPr>
          <w:rStyle w:val="CharStyle25"/>
          <w:color w:val="464648"/>
          <w:sz w:val="20"/>
        </w:rPr>
        <w:t xml:space="preserve"> </w:t>
      </w:r>
      <w:r>
        <w:rPr>
          <w:rStyle w:val="CharStyle25"/>
          <w:color w:val="303030"/>
          <w:sz w:val="20"/>
        </w:rPr>
        <w:t xml:space="preserve">une </w:t>
      </w:r>
      <w:r>
        <w:rPr>
          <w:rStyle w:val="CharStyle25"/>
          <w:sz w:val="20"/>
        </w:rPr>
        <w:t>décision</w:t>
      </w:r>
      <w:r>
        <w:rPr>
          <w:rStyle w:val="CharStyle25"/>
          <w:color w:val="464648"/>
          <w:sz w:val="20"/>
        </w:rPr>
        <w:t xml:space="preserve">similaire pour fermer les écoles. Lorsque les enseignants et le </w:t>
      </w:r>
      <w:r>
        <w:rPr>
          <w:rStyle w:val="CharStyle25"/>
          <w:color w:val="303030"/>
          <w:sz w:val="20"/>
        </w:rPr>
        <w:t xml:space="preserve">personnel </w:t>
      </w:r>
      <w:r>
        <w:rPr>
          <w:rStyle w:val="CharStyle25"/>
          <w:sz w:val="20"/>
        </w:rPr>
        <w:t>scolaire</w:t>
      </w:r>
      <w:r>
        <w:rPr>
          <w:rStyle w:val="CharStyle25"/>
          <w:color w:val="464648"/>
          <w:sz w:val="20"/>
        </w:rPr>
        <w:t xml:space="preserve">constatent </w:t>
      </w:r>
      <w:r>
        <w:rPr>
          <w:rStyle w:val="CharStyle25"/>
          <w:color w:val="467886"/>
          <w:sz w:val="20"/>
        </w:rPr>
        <w:t xml:space="preserve"> </w:t>
      </w:r>
      <w:r>
        <w:rPr>
          <w:rStyle w:val="CharStyle25"/>
          <w:color w:val="303030"/>
          <w:sz w:val="20"/>
        </w:rPr>
        <w:t xml:space="preserve">que </w:t>
      </w:r>
      <w:r>
        <w:rPr>
          <w:rStyle w:val="CharStyle25"/>
          <w:color w:val="467886"/>
          <w:sz w:val="20"/>
          <w:u w:val="single"/>
        </w:rPr>
        <w:t xml:space="preserve">des restrictions de voyage</w:t>
      </w:r>
      <w:r>
        <w:rPr>
          <w:rStyle w:val="CharStyle25"/>
          <w:color w:val="464648"/>
          <w:sz w:val="20"/>
        </w:rPr>
        <w:t xml:space="preserve">sont envisagées aux </w:t>
      </w:r>
      <w:r>
        <w:rPr>
          <w:rStyle w:val="CharStyle25"/>
          <w:color w:val="303030"/>
          <w:sz w:val="20"/>
        </w:rPr>
        <w:t xml:space="preserve"> </w:t>
      </w:r>
      <w:r>
        <w:rPr>
          <w:rStyle w:val="CharStyle25"/>
          <w:color w:val="464648"/>
          <w:sz w:val="20"/>
        </w:rPr>
        <w:t xml:space="preserve">États-Unis, </w:t>
      </w:r>
      <w:r>
        <w:rPr>
          <w:rStyle w:val="CharStyle25"/>
          <w:color w:val="303030"/>
          <w:sz w:val="20"/>
        </w:rPr>
        <w:t xml:space="preserve">nous nous </w:t>
      </w:r>
      <w:r>
        <w:rPr>
          <w:rStyle w:val="CharStyle25"/>
          <w:color w:val="464648"/>
          <w:sz w:val="20"/>
        </w:rPr>
        <w:t xml:space="preserve">attendons à encore plus d'hésitation quant à l'apprentissage en personne. </w:t>
      </w:r>
      <w:r>
        <w:rPr>
          <w:rStyle w:val="CharStyle25"/>
          <w:color w:val="303030"/>
          <w:sz w:val="20"/>
        </w:rPr>
        <w:t xml:space="preserve">Même </w:t>
      </w:r>
      <w:r>
        <w:rPr>
          <w:rStyle w:val="CharStyle25"/>
          <w:sz w:val="20"/>
        </w:rPr>
        <w:t xml:space="preserve">une </w:t>
      </w:r>
      <w:r>
        <w:rPr>
          <w:rStyle w:val="CharStyle25"/>
          <w:color w:val="303030"/>
          <w:sz w:val="20"/>
        </w:rPr>
        <w:t>«</w:t>
      </w:r>
      <w:r>
        <w:rPr>
          <w:rStyle w:val="CharStyle25"/>
          <w:color w:val="464648"/>
          <w:sz w:val="20"/>
        </w:rPr>
        <w:t xml:space="preserve">métrique de fermeture variable</w:t>
      </w:r>
      <w:r>
        <w:rPr>
          <w:rStyle w:val="CharStyle25"/>
          <w:color w:val="303030"/>
          <w:sz w:val="20"/>
        </w:rPr>
        <w:t xml:space="preserve">» contribuerait </w:t>
      </w:r>
      <w:r>
        <w:rPr>
          <w:rStyle w:val="CharStyle25"/>
          <w:color w:val="303030"/>
          <w:sz w:val="20"/>
        </w:rPr>
        <w:t xml:space="preserve">grandement à </w:t>
      </w:r>
      <w:r>
        <w:rPr>
          <w:rStyle w:val="CharStyle25"/>
          <w:color w:val="464648"/>
          <w:sz w:val="20"/>
        </w:rPr>
        <w:t xml:space="preserve">apaiser les hésitations et les craintes </w:t>
      </w:r>
      <w:r>
        <w:rPr>
          <w:rStyle w:val="CharStyle25"/>
          <w:color w:val="303030"/>
          <w:sz w:val="20"/>
        </w:rPr>
        <w:t xml:space="preserve">liées </w:t>
      </w:r>
      <w:r>
        <w:rPr>
          <w:rStyle w:val="CharStyle25"/>
          <w:color w:val="464648"/>
          <w:sz w:val="20"/>
        </w:rPr>
        <w:t xml:space="preserve">à la réouverture.</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303030"/>
          <w:sz w:val="20"/>
        </w:rPr>
        <w:t xml:space="preserve">Nous voulons vraiment prêter </w:t>
      </w:r>
      <w:r>
        <w:rPr>
          <w:rStyle w:val="CharStyle25"/>
          <w:color w:val="464648"/>
          <w:sz w:val="20"/>
        </w:rPr>
        <w:t xml:space="preserve">nos efforts pour aider à restaurer la confiance dans le </w:t>
      </w:r>
      <w:r>
        <w:rPr>
          <w:rStyle w:val="CharStyle25"/>
          <w:color w:val="303030"/>
          <w:sz w:val="20"/>
        </w:rPr>
        <w:t xml:space="preserve">CDC, et nous </w:t>
      </w:r>
      <w:r>
        <w:rPr>
          <w:rStyle w:val="CharStyle25"/>
          <w:color w:val="464648"/>
          <w:sz w:val="20"/>
        </w:rPr>
        <w:t xml:space="preserve">croyons que vous êtes sur </w:t>
      </w:r>
      <w:r>
        <w:rPr>
          <w:rStyle w:val="CharStyle25"/>
          <w:color w:val="303030"/>
          <w:sz w:val="20"/>
        </w:rPr>
        <w:t xml:space="preserve">un </w:t>
      </w:r>
      <w:r>
        <w:rPr>
          <w:rStyle w:val="CharStyle25"/>
          <w:color w:val="464648"/>
          <w:sz w:val="20"/>
        </w:rPr>
        <w:t xml:space="preserve">bon </w:t>
      </w:r>
      <w:r>
        <w:rPr>
          <w:rStyle w:val="CharStyle25"/>
          <w:color w:val="303030"/>
          <w:sz w:val="20"/>
        </w:rPr>
        <w:t xml:space="preserve">départ. Nous devons toutefois demander instamment l'inclusion de déclencheurs de fermeture clairs dans les orientations imminentes. </w:t>
      </w:r>
      <w:r>
        <w:rPr>
          <w:rStyle w:val="CharStyle25"/>
          <w:color w:val="464648"/>
          <w:sz w:val="20"/>
        </w:rPr>
        <w:t xml:space="preserve">Les dispositions prévoyant le </w:t>
      </w:r>
      <w:r>
        <w:rPr>
          <w:rStyle w:val="CharStyle25"/>
          <w:color w:val="303030"/>
          <w:sz w:val="20"/>
        </w:rPr>
        <w:t xml:space="preserve">moment où </w:t>
      </w:r>
      <w:r>
        <w:rPr>
          <w:rStyle w:val="CharStyle25"/>
          <w:color w:val="464648"/>
          <w:sz w:val="20"/>
        </w:rPr>
        <w:t xml:space="preserve">les écoles devraient fermer, comme ce qui </w:t>
      </w:r>
      <w:r>
        <w:rPr>
          <w:rStyle w:val="CharStyle25"/>
          <w:color w:val="467886"/>
          <w:sz w:val="20"/>
        </w:rPr>
        <w:t xml:space="preserve">est </w:t>
      </w:r>
      <w:r>
        <w:rPr>
          <w:rStyle w:val="CharStyle25"/>
          <w:color w:val="464648"/>
          <w:sz w:val="20"/>
        </w:rPr>
        <w:t xml:space="preserve">en place à </w:t>
      </w:r>
      <w:r>
        <w:rPr>
          <w:rStyle w:val="CharStyle25"/>
          <w:color w:val="303030"/>
          <w:sz w:val="20"/>
        </w:rPr>
        <w:t xml:space="preserve">New </w:t>
      </w:r>
      <w:r>
        <w:rPr>
          <w:rStyle w:val="CharStyle25"/>
          <w:color w:val="464648"/>
          <w:sz w:val="20"/>
        </w:rPr>
        <w:t xml:space="preserve">York, instillent un certain degré </w:t>
      </w:r>
      <w:r>
        <w:rPr>
          <w:rStyle w:val="CharStyle25"/>
          <w:color w:val="303030"/>
          <w:sz w:val="20"/>
        </w:rPr>
        <w:t xml:space="preserve">de </w:t>
      </w:r>
      <w:r>
        <w:rPr>
          <w:rStyle w:val="CharStyle25"/>
          <w:color w:val="464648"/>
          <w:sz w:val="20"/>
        </w:rPr>
        <w:t xml:space="preserve">confiance </w:t>
      </w:r>
      <w:r>
        <w:rPr>
          <w:rStyle w:val="CharStyle25"/>
          <w:color w:val="303030"/>
          <w:sz w:val="20"/>
        </w:rPr>
        <w:t xml:space="preserve">pour </w:t>
      </w:r>
      <w:r>
        <w:rPr>
          <w:rStyle w:val="CharStyle25"/>
          <w:color w:val="464648"/>
          <w:sz w:val="20"/>
        </w:rPr>
        <w:t xml:space="preserve">ceux qui hésitent à retourner </w:t>
      </w:r>
      <w:r>
        <w:rPr>
          <w:rStyle w:val="CharStyle25"/>
          <w:color w:val="303030"/>
          <w:sz w:val="20"/>
        </w:rPr>
        <w:t xml:space="preserve">à </w:t>
      </w:r>
      <w:r>
        <w:rPr>
          <w:rStyle w:val="CharStyle25"/>
          <w:color w:val="464648"/>
          <w:sz w:val="20"/>
        </w:rPr>
        <w:t xml:space="preserve">l'école. L'intégration d'un </w:t>
      </w:r>
      <w:r>
        <w:rPr>
          <w:rStyle w:val="CharStyle25"/>
          <w:color w:val="303030"/>
          <w:sz w:val="20"/>
        </w:rPr>
        <w:t xml:space="preserve">tel </w:t>
      </w:r>
      <w:r>
        <w:rPr>
          <w:rStyle w:val="CharStyle25"/>
          <w:color w:val="464648"/>
          <w:sz w:val="20"/>
        </w:rPr>
        <w:t xml:space="preserve">seuil </w:t>
      </w:r>
      <w:r>
        <w:rPr>
          <w:rStyle w:val="CharStyle25"/>
          <w:color w:val="303030"/>
          <w:sz w:val="20"/>
        </w:rPr>
        <w:t xml:space="preserve">renforce </w:t>
      </w:r>
      <w:r>
        <w:rPr>
          <w:rStyle w:val="CharStyle25"/>
          <w:color w:val="464648"/>
          <w:sz w:val="20"/>
        </w:rPr>
        <w:t xml:space="preserve">la transparence et est indispensable pour s'assurer que les parents </w:t>
      </w:r>
      <w:r>
        <w:rPr>
          <w:rStyle w:val="CharStyle25"/>
          <w:color w:val="303030"/>
          <w:sz w:val="20"/>
        </w:rPr>
        <w:t xml:space="preserve">et </w:t>
      </w:r>
      <w:r>
        <w:rPr>
          <w:rStyle w:val="CharStyle25"/>
          <w:color w:val="464648"/>
          <w:sz w:val="20"/>
        </w:rPr>
        <w:t xml:space="preserve">les administrateurs peuvent planifier une poussée comme </w:t>
      </w:r>
      <w:r>
        <w:rPr>
          <w:rStyle w:val="CharStyle25"/>
          <w:color w:val="303030"/>
          <w:sz w:val="20"/>
        </w:rPr>
        <w:t xml:space="preserve">nous </w:t>
      </w:r>
      <w:r>
        <w:rPr>
          <w:rStyle w:val="CharStyle25"/>
          <w:color w:val="464648"/>
          <w:sz w:val="20"/>
        </w:rPr>
        <w:t xml:space="preserve">l'avons vu en Grande-Bretagne et en Allemagne.</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303030"/>
          <w:sz w:val="20"/>
        </w:rPr>
        <w:t xml:space="preserve">Nous nous </w:t>
      </w:r>
      <w:r>
        <w:rPr>
          <w:rStyle w:val="CharStyle25"/>
          <w:color w:val="464648"/>
          <w:sz w:val="20"/>
        </w:rPr>
        <w:t xml:space="preserve">réjouissons de poursuivre notre collaboration </w:t>
      </w:r>
      <w:r>
        <w:rPr>
          <w:rStyle w:val="CharStyle25"/>
          <w:color w:val="303030"/>
          <w:sz w:val="20"/>
        </w:rPr>
        <w:t xml:space="preserve">avec </w:t>
      </w:r>
      <w:r>
        <w:rPr>
          <w:rStyle w:val="CharStyle25"/>
          <w:color w:val="464648"/>
          <w:sz w:val="20"/>
        </w:rPr>
        <w:t xml:space="preserve">vous et votre équipe.</w:t>
      </w:r>
    </w:p>
    <w:p>
      <w:pPr>
        <w:pStyle w:val="Style24"/>
        <w:keepNext w:val="0"/>
        <w:keepLines w:val="0"/>
        <w:widowControl w:val="0"/>
        <w:shd w:val="clear" w:color="auto" w:fill="auto"/>
        <w:spacing w:before="0" w:after="160" w:line="185" w:lineRule="auto"/>
        <w:ind w:left="1120" w:right="0" w:firstLine="0"/>
        <w:jc w:val="left"/>
        <w:rPr>
          <w:sz w:val="20"/>
        </w:rPr>
      </w:pPr>
      <w:r>
        <w:rPr>
          <w:rStyle w:val="CharStyle25"/>
          <w:color w:val="464648"/>
          <w:sz w:val="20"/>
        </w:rPr>
        <w:t>Kelly</w:t>
      </w:r>
    </w:p>
    <w:p>
      <w:pPr>
        <w:pStyle w:val="Style110"/>
        <w:keepNext w:val="0"/>
        <w:keepLines w:val="0"/>
        <w:widowControl w:val="0"/>
        <w:shd w:val="clear" w:color="auto" w:fill="auto"/>
        <w:spacing w:before="0" w:after="0" w:line="240" w:lineRule="auto"/>
        <w:ind w:left="1120" w:right="0" w:firstLine="0"/>
        <w:jc w:val="left"/>
        <w:rPr>
          <w:sz w:val="16"/>
        </w:rPr>
      </w:pPr>
      <w:r>
        <w:rPr>
          <w:rStyle w:val="CharStyle111"/>
          <w:color w:val="303030"/>
          <w:sz w:val="16"/>
        </w:rPr>
        <w:t xml:space="preserve">Kelly D. </w:t>
      </w:r>
      <w:r>
        <w:rPr>
          <w:rStyle w:val="CharStyle111"/>
          <w:color w:val="000000"/>
          <w:sz w:val="16"/>
        </w:rPr>
        <w:t xml:space="preserve">Trautner (homonymie)</w:t>
      </w:r>
    </w:p>
    <w:p>
      <w:pPr>
        <w:pStyle w:val="Style110"/>
        <w:keepNext w:val="0"/>
        <w:keepLines w:val="0"/>
        <w:widowControl w:val="0"/>
        <w:shd w:val="clear" w:color="auto" w:fill="auto"/>
        <w:spacing w:before="0" w:after="160" w:line="240" w:lineRule="auto"/>
        <w:ind w:left="1120" w:right="0" w:firstLine="0"/>
        <w:jc w:val="left"/>
        <w:rPr>
          <w:sz w:val="15"/>
        </w:rPr>
      </w:pPr>
      <w:r>
        <w:rPr>
          <w:rStyle w:val="CharStyle111"/>
          <w:sz w:val="15"/>
        </w:rPr>
        <w:t xml:space="preserve">Directeur principal </w:t>
      </w:r>
      <w:r>
        <w:rPr>
          <w:rStyle w:val="CharStyle111"/>
          <w:color w:val="467886"/>
          <w:sz w:val="15"/>
        </w:rPr>
        <w:t xml:space="preserve">I </w:t>
      </w:r>
      <w:r>
        <w:rPr>
          <w:rStyle w:val="CharStyle111"/>
          <w:sz w:val="15"/>
        </w:rPr>
        <w:t xml:space="preserve">Questions de santé</w: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Mme Nedrow (Trautner) a ensuite fourni un libellé qui permettrait au CDC de mettre à jour la stratégie opérationnelle en cas de nouvelle variante du SARS-CoV-2 [ci-après «AFT Edit 2»].</w:t>
        <w:footnoteReference w:id="285"/>
      </w:r>
    </w:p>
    <w:p>
      <w:pPr>
        <w:pStyle w:val="Style24"/>
        <w:keepNext w:val="0"/>
        <w:keepLines w:val="0"/>
        <w:widowControl w:val="0"/>
        <w:shd w:val="clear" w:color="auto" w:fill="auto"/>
        <w:spacing w:before="0" w:after="280" w:line="259" w:lineRule="auto"/>
        <w:ind w:left="740" w:right="0" w:firstLine="0"/>
        <w:jc w:val="left"/>
      </w:pPr>
      <w:r>
        <w:rPr>
          <w:rStyle w:val="CharStyle25"/>
        </w:rPr>
        <w:t xml:space="preserve">Dans le cas où la transmission à haute communauté résulterait d'une nouvelle variante du SARS-CoV-2, une nouvelle mise à jour de ces lignes directrices pourrait s'avérer nécessaire.</w:t>
      </w:r>
    </w:p>
    <w:p>
      <w:pPr>
        <w:pStyle w:val="Style24"/>
        <w:keepNext w:val="0"/>
        <w:keepLines w:val="0"/>
        <w:widowControl w:val="0"/>
        <w:shd w:val="clear" w:color="auto" w:fill="auto"/>
        <w:spacing w:before="0" w:after="280"/>
        <w:ind w:left="0" w:right="0" w:firstLine="740"/>
        <w:jc w:val="left"/>
      </w:pPr>
      <w:r>
        <w:rPr>
          <w:rStyle w:val="CharStyle25"/>
        </w:rPr>
        <w:t xml:space="preserve">Ces modifications visaient à rendre plus probable que les écoles se rapprochent de l'apprentissage en personne. Selon le courriel de Mme Nedrow (Trautner) à Mme Weingarten, le projet de texte était destiné à répondre aux préoccupations de l’AFT concernant l’absence de « déclencheurs » qui entraîneraient automatiquement la fermeture des écoles.</w:t>
        <w:footnoteReference w:id="286"/>
        <w:t xml:space="preserve"> Plus précisément, l’AFT a informé M. Walensky que son projet de libellé devrait être incorporé pour remédier à « l’absence de seuil de clôture » et aux efforts continus de l’AFT pour « insister sur l’inclusion de déclencheurs de clôture clairs dans les orientations imminentes ». </w:t>
        <w:footnoteReference w:id="287"/>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Le 11 février 2021, Mme Ucelli-Kashyap a déclaré à ses collègues que les orientations n’incluraient pas «une mesure finale, mais qu’il pourrait y avoir un langage nuancé utile». </w:t>
        <w:footnoteReference w:id="288"/>
        <w:t xml:space="preserve"> Mme Nedrow (Trautner) a témoigné que l’édition n’était pas «nécessairement enracinée dans la science».</w:t>
      </w:r>
    </w:p>
    <w:p>
      <w:pPr>
        <w:pStyle w:val="Style24"/>
        <w:keepNext w:val="0"/>
        <w:keepLines w:val="0"/>
        <w:widowControl w:val="0"/>
        <w:shd w:val="clear" w:color="auto" w:fill="auto"/>
        <w:spacing w:before="0" w:after="280"/>
        <w:ind w:left="0" w:right="0" w:firstLine="740"/>
        <w:jc w:val="left"/>
      </w:pPr>
      <w:r>
        <w:rPr>
          <w:rStyle w:val="CharStyle25"/>
          <w:u w:val="single"/>
        </w:rPr>
        <w:t xml:space="preserve">Mme Kelly Nedrow (Trautner) (23 juin 2023)</w:t>
      </w:r>
    </w:p>
    <w:p>
      <w:pPr>
        <w:pStyle w:val="Style24"/>
        <w:keepNext w:val="0"/>
        <w:keepLines w:val="0"/>
        <w:widowControl w:val="0"/>
        <w:shd w:val="clear" w:color="auto" w:fill="auto"/>
        <w:spacing w:before="0" w:after="280"/>
        <w:ind w:left="1460" w:right="0" w:hanging="720"/>
        <w:jc w:val="left"/>
      </w:pPr>
      <w:r>
        <w:rPr>
          <w:rStyle w:val="CharStyle25"/>
        </w:rPr>
        <w:t xml:space="preserve">Q. Je me demande simplement pourquoi [le changement suggéré] est nécessaire... étant donné que la CDC était déjà en train de considérer que les écoles pouvaient suivre un apprentissage hybride si elles en avaient besoin et devaient suivre toutes les stratégies d’atténuation préconisées par la CDC, qui, à l’époque et tout au long de la pandémie, masquaient la distanciation sociale et les autres choses dont vous avez parlé. Je ne comprends donc pas pourquoi l’ajout du qualificatif était scientifiquement nécessaire.</w:t>
      </w:r>
    </w:p>
    <w:p>
      <w:pPr>
        <w:pStyle w:val="Style24"/>
        <w:keepNext w:val="0"/>
        <w:keepLines w:val="0"/>
        <w:widowControl w:val="0"/>
        <w:shd w:val="clear" w:color="auto" w:fill="auto"/>
        <w:spacing w:before="0" w:after="280"/>
        <w:ind w:left="1460" w:right="0" w:hanging="720"/>
        <w:jc w:val="left"/>
      </w:pPr>
      <w:r>
        <w:rPr>
          <w:rStyle w:val="CharStyle25"/>
        </w:rPr>
        <w:t xml:space="preserve">R. Donc... nous avions deux grandes priorités. L'un était de s'assurer que l'environnement était sûr. L’autre était de veiller à ce que nos membres se sentent en sécurité, ce qui n’est pas nécessairement ancré dans la science, mais, en pratique, était nécessaire pour que les gens soient disposés à retourner dans les bâtiments, et c’est l’idée maîtresse de cette phrase que nous avons recommandée.</w:t>
      </w:r>
    </w:p>
    <w:p>
      <w:pPr>
        <w:pStyle w:val="Style24"/>
        <w:keepNext w:val="0"/>
        <w:keepLines w:val="0"/>
        <w:widowControl w:val="0"/>
        <w:shd w:val="clear" w:color="auto" w:fill="auto"/>
        <w:spacing w:before="0" w:after="280" w:line="264" w:lineRule="auto"/>
        <w:ind w:left="1460" w:right="0" w:hanging="720"/>
        <w:jc w:val="left"/>
      </w:pPr>
      <w:r>
        <w:rPr>
          <w:rStyle w:val="CharStyle25"/>
        </w:rPr>
        <w:t xml:space="preserve">Q. Donc, il n'y avait aucune science à l'appui de cette phrase; c'était strictement pour persuader vos membres de retourner à l'école?</w:t>
      </w:r>
    </w:p>
    <w:p>
      <w:pPr>
        <w:pStyle w:val="Style24"/>
        <w:keepNext w:val="0"/>
        <w:keepLines w:val="0"/>
        <w:widowControl w:val="0"/>
        <w:shd w:val="clear" w:color="auto" w:fill="auto"/>
        <w:spacing w:before="0" w:line="269" w:lineRule="auto"/>
        <w:ind w:left="1460" w:right="0" w:hanging="720"/>
        <w:jc w:val="left"/>
      </w:pPr>
      <w:r>
        <w:rPr>
          <w:rStyle w:val="CharStyle25"/>
        </w:rPr>
        <w:t xml:space="preserve">R. Nous savions que la CDC — nous étions à peu près certains que la CDC mettrait à jour les orientations si elle avait besoin de mettre à jour les orientations.</w:t>
        <w:footnoteReference w:id="289"/>
      </w:r>
    </w:p>
    <w:p>
      <w:pPr>
        <w:pStyle w:val="Style24"/>
        <w:keepNext w:val="0"/>
        <w:keepLines w:val="0"/>
        <w:widowControl w:val="0"/>
        <w:shd w:val="clear" w:color="auto" w:fill="auto"/>
        <w:spacing w:before="0" w:line="259" w:lineRule="auto"/>
        <w:ind w:left="0" w:right="0" w:firstLine="740"/>
        <w:jc w:val="left"/>
      </w:pPr>
      <w:r>
        <w:rPr>
          <w:rStyle w:val="CharStyle25"/>
        </w:rPr>
        <w:t xml:space="preserve">De plus, Mme Nedrow (Trautner) a témoigné que Mme Weingarten avait approuvé « tout » qui était proposé aux fins de l'orientation.</w:t>
      </w:r>
    </w:p>
    <w:p>
      <w:pPr>
        <w:pStyle w:val="Style24"/>
        <w:keepNext w:val="0"/>
        <w:keepLines w:val="0"/>
        <w:widowControl w:val="0"/>
        <w:shd w:val="clear" w:color="auto" w:fill="auto"/>
        <w:spacing w:before="0"/>
        <w:ind w:left="0" w:right="0" w:firstLine="740"/>
        <w:jc w:val="left"/>
      </w:pPr>
      <w:r>
        <w:rPr>
          <w:rStyle w:val="CharStyle25"/>
          <w:u w:val="single"/>
        </w:rPr>
        <w:t xml:space="preserve">Mme Kelly Nedrow (Trautner) (23 juin 2023)</w:t>
      </w:r>
    </w:p>
    <w:p>
      <w:pPr>
        <w:pStyle w:val="Style24"/>
        <w:keepNext w:val="0"/>
        <w:keepLines w:val="0"/>
        <w:widowControl w:val="0"/>
        <w:shd w:val="clear" w:color="auto" w:fill="auto"/>
        <w:spacing w:before="0" w:line="264" w:lineRule="auto"/>
        <w:ind w:left="1460" w:right="0" w:hanging="720"/>
        <w:jc w:val="left"/>
      </w:pPr>
      <w:r>
        <w:rPr>
          <w:rStyle w:val="CharStyle25"/>
        </w:rPr>
        <w:t xml:space="preserve">Q. Avez-vous déjà eu une conversation avec Mme Weingarten au sujet d'un seuil de fermeture ou d'un déclencheur de fermeture?</w:t>
      </w:r>
    </w:p>
    <w:p>
      <w:pPr>
        <w:pStyle w:val="Style24"/>
        <w:keepNext w:val="0"/>
        <w:keepLines w:val="0"/>
        <w:widowControl w:val="0"/>
        <w:shd w:val="clear" w:color="auto" w:fill="auto"/>
        <w:tabs>
          <w:tab w:pos="1393" w:val="left"/>
        </w:tabs>
        <w:spacing w:before="0"/>
        <w:ind w:left="0" w:right="0" w:firstLine="740"/>
        <w:jc w:val="left"/>
      </w:pPr>
      <w:r>
        <w:rPr>
          <w:rStyle w:val="CharStyle25"/>
        </w:rPr>
        <w:t>A.</w:t>
        <w:tab/>
        <w:t xml:space="preserve">À propos — en ce qui concerne les orientations de la CDC?</w:t>
      </w:r>
    </w:p>
    <w:p>
      <w:pPr>
        <w:pStyle w:val="Style24"/>
        <w:keepNext w:val="0"/>
        <w:keepLines w:val="0"/>
        <w:widowControl w:val="0"/>
        <w:shd w:val="clear" w:color="auto" w:fill="auto"/>
        <w:tabs>
          <w:tab w:pos="1393" w:val="left"/>
        </w:tabs>
        <w:spacing w:before="0"/>
        <w:ind w:left="0" w:right="0" w:firstLine="740"/>
        <w:jc w:val="left"/>
      </w:pPr>
      <w:r>
        <w:rPr>
          <w:rStyle w:val="CharStyle25"/>
        </w:rPr>
        <w:t>Q.</w:t>
        <w:tab/>
        <w:t>Hum-hum.</w:t>
      </w:r>
    </w:p>
    <w:p>
      <w:pPr>
        <w:pStyle w:val="Style24"/>
        <w:keepNext w:val="0"/>
        <w:keepLines w:val="0"/>
        <w:widowControl w:val="0"/>
        <w:shd w:val="clear" w:color="auto" w:fill="auto"/>
        <w:spacing w:before="0" w:line="259" w:lineRule="auto"/>
        <w:ind w:left="1460" w:right="0" w:hanging="720"/>
        <w:jc w:val="left"/>
      </w:pPr>
      <w:r>
        <w:rPr>
          <w:rStyle w:val="CharStyle25"/>
        </w:rPr>
        <w:t xml:space="preserve">R. Je veux dire, nous en avons discuté. Tout ce qui était dans les courriels dans le compte rendu a été discuté avec notre président. Il n'y avait aucune position que nous avons prise qui n'a pas été acceptée par notre président.</w:t>
        <w:footnoteReference w:id="290"/>
      </w:r>
    </w:p>
    <w:p>
      <w:pPr>
        <w:pStyle w:val="Style24"/>
        <w:keepNext w:val="0"/>
        <w:keepLines w:val="0"/>
        <w:widowControl w:val="0"/>
        <w:shd w:val="clear" w:color="auto" w:fill="auto"/>
        <w:spacing w:before="0" w:line="264" w:lineRule="auto"/>
        <w:ind w:left="0" w:right="0" w:firstLine="740"/>
        <w:jc w:val="left"/>
      </w:pPr>
      <w:r>
        <w:rPr>
          <w:rStyle w:val="CharStyle25"/>
        </w:rPr>
        <w:t xml:space="preserve">Selon les documents examinés par le sous-comité restreint, Mme Weingarten a eu un appel avec le Dr Walensky au sujet de l'orientation peu de temps après la fuite de l'orientation.</w:t>
        <w:footnoteReference w:id="291"/>
        <w:t xml:space="preserve"> Plus tard dans la nuit, Mme Weingarten et le personnel de l’AFT ont également tenu une «séance d’information confidentielle» avec des membres du ministère de l’éducation ainsi que du CDC. </w:t>
        <w:footnoteReference w:id="292"/>
      </w:r>
    </w:p>
    <w:p>
      <w:pPr>
        <w:pStyle w:val="Style24"/>
        <w:keepNext w:val="0"/>
        <w:keepLines w:val="0"/>
        <w:widowControl w:val="0"/>
        <w:shd w:val="clear" w:color="auto" w:fill="auto"/>
        <w:spacing w:before="0" w:line="259" w:lineRule="auto"/>
        <w:ind w:left="0" w:right="0" w:firstLine="740"/>
        <w:jc w:val="left"/>
      </w:pPr>
      <w:r>
        <w:rPr>
          <w:rStyle w:val="CharStyle25"/>
        </w:rPr>
        <w:t xml:space="preserve">Bien que le contenu précis de ces appels soit inconnu, la Dre Walensky a demandé à son personnel d'organiser un appel avec l'AFT et la NEA le lendemain matin avant la publication des directives. </w:t>
        <w:footnoteReference w:id="293"/>
      </w:r>
    </w:p>
    <w:p>
      <w:pPr>
        <w:pStyle w:val="Style24"/>
        <w:keepNext w:val="0"/>
        <w:keepLines w:val="0"/>
        <w:widowControl w:val="0"/>
        <w:shd w:val="clear" w:color="auto" w:fill="auto"/>
        <w:spacing w:before="0" w:line="264" w:lineRule="auto"/>
        <w:ind w:left="0" w:right="0" w:firstLine="740"/>
        <w:jc w:val="left"/>
      </w:pPr>
      <w:r>
        <w:rPr>
          <w:rStyle w:val="CharStyle25"/>
        </w:rPr>
        <w:t xml:space="preserve">Selon les courriels examinés par le sous-comité restreint, le 12 février 2021, le Dr Walensky a chargé le Dr Walke d’intégrer le langage de l’AFT dans la stratégie opérationnelle, même si la stratégie opérationnelle avait déjà été présentée en avant-première aux médias.</w:t>
        <w:footnoteReference w:id="294"/>
        <w:t xml:space="preserve"> Plus précisément, le Dr Walensky a envoyé un courriel « [a]re we able to add the bolded line below, bolding is mine. » Le Dr Walke a répondu, « [y]es, will work with team. »</w:t>
        <w:footnoteReference w:id="295"/>
      </w:r>
    </w:p>
    <w:p>
      <w:pPr>
        <w:pStyle w:val="Style24"/>
        <w:keepNext w:val="0"/>
        <w:keepLines w:val="0"/>
        <w:widowControl w:val="0"/>
        <w:shd w:val="clear" w:color="auto" w:fill="auto"/>
        <w:spacing w:before="0" w:line="259" w:lineRule="auto"/>
        <w:ind w:left="0" w:right="0" w:firstLine="740"/>
        <w:jc w:val="left"/>
        <w:sectPr>
          <w:footnotePr>
            <w:pos w:val="pageBottom"/>
            <w:numFmt w:val="decimal"/>
            <w:numStart w:val="1454"/>
            <w:numRestart w:val="continuous"/>
            <w15:footnoteColumns w:val="1"/>
          </w:footnotePr>
          <w:pgSz w:w="12485" w:h="16357"/>
          <w:pgMar w:top="1708" w:right="1605" w:bottom="1498" w:left="1501" w:header="1280" w:footer="3" w:gutter="0"/>
          <w:cols w:space="720"/>
          <w:noEndnote/>
          <w:rtlGutter w:val="0"/>
          <w:docGrid w:linePitch="360"/>
        </w:sectPr>
      </w:pPr>
      <w:r>
        <w:rPr>
          <w:rStyle w:val="CharStyle25"/>
        </w:rPr>
        <w:t xml:space="preserve">En conséquence, l'AFT Edit 2 est également devenue la stratégie opérationnelle finale en grande partie inchangée.</w:t>
      </w:r>
    </w:p>
    <w:tbl>
      <w:tblPr>
        <w:tblOverlap w:val="never"/>
        <w:jc w:val="center"/>
        <w:tblLayout w:type="fixed"/>
      </w:tblPr>
      <w:tblGrid>
        <w:gridCol w:w="4498"/>
        <w:gridCol w:w="4877"/>
      </w:tblGrid>
      <w:tr>
        <w:trPr>
          <w:trHeight w:val="480" w:hRule="exact"/>
        </w:trPr>
        <w:tc>
          <w:tcPr>
            <w:tcBorders>
              <w:top w:val="single" w:sz="4"/>
              <w:left w:val="single" w:sz="4"/>
            </w:tcBorders>
            <w:shd w:val="clear" w:color="auto" w:fill="auto"/>
            <w:vAlign w:val="bottom"/>
          </w:tcPr>
          <w:p>
            <w:pPr>
              <w:pStyle w:val="Style18"/>
              <w:keepNext w:val="0"/>
              <w:keepLines w:val="0"/>
              <w:widowControl w:val="0"/>
              <w:shd w:val="clear" w:color="auto" w:fill="auto"/>
              <w:spacing w:before="0" w:after="0" w:line="240" w:lineRule="auto"/>
              <w:ind w:left="0" w:right="0" w:firstLine="0"/>
              <w:jc w:val="center"/>
              <w:rPr>
                <w:sz w:val="20"/>
              </w:rPr>
            </w:pPr>
            <w:r>
              <w:rPr>
                <w:rStyle w:val="CharStyle19"/>
                <w:b/>
                <w:sz w:val="20"/>
              </w:rPr>
              <w:t xml:space="preserve">LANGUE PROPOSÉE DE L’AFT «AFT EDIT 2»</w:t>
            </w:r>
          </w:p>
        </w:tc>
        <w:tc>
          <w:tcPr>
            <w:tcBorders>
              <w:top w:val="single" w:sz="4"/>
              <w:left w:val="single" w:sz="4"/>
              <w:right w:val="single" w:sz="4"/>
            </w:tcBorders>
            <w:shd w:val="clear" w:color="auto" w:fill="auto"/>
            <w:vAlign w:val="bottom"/>
          </w:tcPr>
          <w:p>
            <w:pPr>
              <w:pStyle w:val="Style18"/>
              <w:keepNext w:val="0"/>
              <w:keepLines w:val="0"/>
              <w:widowControl w:val="0"/>
              <w:shd w:val="clear" w:color="auto" w:fill="auto"/>
              <w:spacing w:before="0" w:after="0" w:line="240" w:lineRule="auto"/>
              <w:ind w:left="0" w:right="0" w:firstLine="0"/>
              <w:jc w:val="center"/>
              <w:rPr>
                <w:sz w:val="20"/>
              </w:rPr>
            </w:pPr>
            <w:r>
              <w:rPr>
                <w:rStyle w:val="CharStyle19"/>
                <w:b/>
                <w:sz w:val="20"/>
              </w:rPr>
              <w:t xml:space="preserve">VERSION FINALE DE LA STRATÉGIE OPÉRATIONNELLE</w:t>
            </w:r>
          </w:p>
        </w:tc>
      </w:tr>
      <w:tr>
        <w:trPr>
          <w:trHeight w:val="710" w:hRule="exact"/>
        </w:trPr>
        <w:tc>
          <w:tcPr>
            <w:tcBorders>
              <w:top w:val="single" w:sz="4"/>
              <w:left w:val="single" w:sz="4"/>
              <w:bottom w:val="single" w:sz="4"/>
            </w:tcBorders>
            <w:shd w:val="clear" w:color="auto" w:fill="auto"/>
            <w:vAlign w:val="bottom"/>
          </w:tcPr>
          <w:p>
            <w:pPr>
              <w:pStyle w:val="Style18"/>
              <w:keepNext w:val="0"/>
              <w:keepLines w:val="0"/>
              <w:widowControl w:val="0"/>
              <w:shd w:val="clear" w:color="auto" w:fill="auto"/>
              <w:spacing w:before="0" w:after="0" w:line="283" w:lineRule="auto"/>
              <w:ind w:left="0" w:right="0" w:firstLine="0"/>
              <w:jc w:val="left"/>
              <w:rPr>
                <w:sz w:val="17"/>
              </w:rPr>
            </w:pPr>
            <w:r>
              <w:rPr>
                <w:rStyle w:val="CharStyle19"/>
                <w:sz w:val="17"/>
              </w:rPr>
              <w:t xml:space="preserve">Dans le cas où la transmission à haute communauté résulterait d'une nouvelle variante du SARS-CoV-2, une nouvelle mise à jour de ces lignes directrices pourrait s'avérer nécessaire.</w:t>
            </w:r>
          </w:p>
        </w:tc>
        <w:tc>
          <w:tcPr>
            <w:tcBorders>
              <w:top w:val="single" w:sz="4"/>
              <w:left w:val="single" w:sz="4"/>
              <w:bottom w:val="single" w:sz="4"/>
              <w:right w:val="single" w:sz="4"/>
            </w:tcBorders>
            <w:shd w:val="clear" w:color="auto" w:fill="auto"/>
            <w:vAlign w:val="bottom"/>
          </w:tcPr>
          <w:p>
            <w:pPr>
              <w:pStyle w:val="Style18"/>
              <w:keepNext w:val="0"/>
              <w:keepLines w:val="0"/>
              <w:widowControl w:val="0"/>
              <w:shd w:val="clear" w:color="auto" w:fill="auto"/>
              <w:spacing w:before="0" w:after="0" w:line="283" w:lineRule="auto"/>
              <w:ind w:left="0" w:right="0" w:firstLine="0"/>
              <w:jc w:val="left"/>
              <w:rPr>
                <w:sz w:val="17"/>
              </w:rPr>
            </w:pPr>
            <w:r>
              <w:rPr>
                <w:rStyle w:val="CharStyle19"/>
                <w:sz w:val="17"/>
              </w:rPr>
              <w:t xml:space="preserve">En cas d'augmentation des niveaux de transmission communautaire résultant d'une variante du SARS-CoV-2, des mises à jour de cette ligne directrice peuvent être nécessaires.</w:t>
            </w:r>
          </w:p>
        </w:tc>
      </w:tr>
    </w:tbl>
    <w:p>
      <w:pPr>
        <w:sectPr>
          <w:footnotePr>
            <w:pos w:val="pageBottom"/>
            <w:numFmt w:val="decimal"/>
            <w:numStart w:val="1454"/>
            <w:numRestart w:val="continuous"/>
            <w15:footnoteColumns w:val="1"/>
          </w:footnotePr>
          <w:pgSz w:w="12240" w:h="15840"/>
          <w:pgMar w:top="1709" w:right="1426" w:bottom="1709" w:left="1440" w:header="1281" w:footer="3" w:gutter="0"/>
          <w:cols w:space="720"/>
          <w:noEndnote/>
          <w:rtlGutter w:val="0"/>
          <w:docGrid w:linePitch="360"/>
        </w:sectPr>
      </w:pPr>
    </w:p>
    <w:p>
      <w:pPr>
        <w:pStyle w:val="Style24"/>
        <w:keepNext w:val="0"/>
        <w:keepLines w:val="0"/>
        <w:widowControl w:val="0"/>
        <w:shd w:val="clear" w:color="auto" w:fill="auto"/>
        <w:spacing w:before="0" w:after="280"/>
        <w:ind w:left="0" w:right="0" w:firstLine="0"/>
        <w:jc w:val="left"/>
      </w:pPr>
      <w:r>
        <w:rPr>
          <w:rStyle w:val="CharStyle25"/>
        </w:rPr>
        <w:t xml:space="preserve">III. </w:t>
      </w:r>
      <w:r>
        <w:rPr>
          <w:rStyle w:val="CharStyle25"/>
          <w:u w:val="single"/>
        </w:rPr>
        <w:t xml:space="preserve">Les effets néfastes des fermetures d'écoles</w:t>
      </w: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La décision de fermer les écoles a eu des conséquences prévisibles, mais désastreuses pour les universitaires et la santé mentale et physique des élèves. Bien que l'ampleur des conséquences négatives des fermetures d'écoles soit probablement incalculable, certains effets négatifs sont documentés.</w:t>
      </w:r>
    </w:p>
    <w:p>
      <w:pPr>
        <w:pStyle w:val="Style24"/>
        <w:keepNext w:val="0"/>
        <w:keepLines w:val="0"/>
        <w:widowControl w:val="0"/>
        <w:shd w:val="clear" w:color="auto" w:fill="auto"/>
        <w:spacing w:before="0" w:after="280"/>
        <w:ind w:left="0" w:right="0" w:firstLine="740"/>
        <w:jc w:val="left"/>
      </w:pPr>
      <w:r>
        <w:rPr>
          <w:rStyle w:val="CharStyle25"/>
        </w:rPr>
        <w:t xml:space="preserve">Les preuves montrent clairement que toute réponse de santé publique qui justifie la fermeture d'écoles devrait faire l'objet d'un examen minutieux. La politique de fermeture des écoles devrait être guidée par la science et les données, et non par la peur et la politique.</w:t>
      </w:r>
    </w:p>
    <w:p>
      <w:pPr>
        <w:pStyle w:val="Style24"/>
        <w:keepNext w:val="0"/>
        <w:keepLines w:val="0"/>
        <w:widowControl w:val="0"/>
        <w:shd w:val="clear" w:color="auto" w:fill="auto"/>
        <w:spacing w:before="0" w:after="280" w:line="264" w:lineRule="auto"/>
        <w:ind w:left="1460" w:right="0" w:hanging="1460"/>
        <w:jc w:val="left"/>
      </w:pPr>
      <w:r>
        <w:rPr>
          <w:rStyle w:val="CharStyle25"/>
        </w:rPr>
        <w:t xml:space="preserve">CONSTATATION : Les fermetures d'écoles de l'ère pandémique ont eu un impact négatif sur le rendement scolaire qui se poursuivra pendant des années.</w:t>
      </w:r>
    </w:p>
    <w:p>
      <w:pPr>
        <w:pStyle w:val="Style24"/>
        <w:keepNext w:val="0"/>
        <w:keepLines w:val="0"/>
        <w:widowControl w:val="0"/>
        <w:shd w:val="clear" w:color="auto" w:fill="auto"/>
        <w:spacing w:before="0" w:after="280" w:line="283" w:lineRule="auto"/>
        <w:ind w:left="0" w:right="0" w:firstLine="740"/>
        <w:jc w:val="left"/>
      </w:pPr>
      <w:r>
        <w:rPr>
          <w:rStyle w:val="CharStyle25"/>
        </w:rPr>
        <w:t xml:space="preserve">Les résultats scolaires des élèves ont considérablement diminué en raison des politiques de fermeture des écoles pendant la pandémie. Les résultats des tests standardisés montrent que les enfants ont perdu des décennies de progrès scolaires.</w:t>
        <w:footnoteReference w:id="296"/>
        <w:t xml:space="preserve"> La performance des enfants de 9 ans en mathématiques et en lecture a diminué à des niveaux enregistrés il y a deux décennies, et le score composite moyen pour l'ACT par les diplômés du secondaire est tombé en dessous de 20 pour la première fois depuis 1991. </w:t>
        <w:footnoteReference w:id="297"/>
        <w:t xml:space="preserve">Les élèves dont les classes ont été moins perturbées au cours de l'année scolaire 2020-2021 ont perdu environ 20% de l'apprentissage des mathématiques, contre 50% pour les élèves qui n'avaient pas accès à l'enseignement en personne.</w:t>
        <w:footnoteReference w:id="298"/>
      </w:r>
    </w:p>
    <w:p>
      <w:pPr>
        <w:pStyle w:val="Style27"/>
        <w:keepNext w:val="0"/>
        <w:keepLines w:val="0"/>
        <w:widowControl w:val="0"/>
        <w:shd w:val="clear" w:color="auto" w:fill="auto"/>
        <w:spacing w:before="0" w:after="60" w:line="240" w:lineRule="auto"/>
        <w:ind w:left="0" w:right="0" w:firstLine="0"/>
        <w:jc w:val="left"/>
        <w:rPr>
          <w:sz w:val="20"/>
        </w:rPr>
      </w:pPr>
      <w:r>
        <w:rPr>
          <w:rStyle w:val="CharStyle28"/>
          <w:rFonts w:ascii="Times New Roman" w:hAnsi="Times New Roman" w:cs="Times New Roman" w:eastAsia="Times New Roman"/>
          <w:color w:val="000000"/>
          <w:sz w:val="20"/>
        </w:rPr>
        <w:t xml:space="preserve">Baisse moyenne des scores en mathématiques, de la 3e à la 8e année</w:t>
      </w:r>
    </w:p>
    <w:p>
      <w:pPr>
        <w:pStyle w:val="Style27"/>
        <w:keepNext w:val="0"/>
        <w:keepLines w:val="0"/>
        <w:widowControl w:val="0"/>
        <w:shd w:val="clear" w:color="auto" w:fill="auto"/>
        <w:spacing w:before="0" w:after="0" w:line="240" w:lineRule="auto"/>
        <w:ind w:left="0" w:right="0" w:firstLine="0"/>
        <w:jc w:val="left"/>
        <w:rPr>
          <w:sz w:val="10"/>
        </w:rPr>
      </w:pPr>
      <w:r>
        <w:rPr>
          <w:rStyle w:val="CharStyle28"/>
          <w:sz w:val="10"/>
        </w:rPr>
        <w:t xml:space="preserve">Pour les districts qui ont dépensé </w:t>
      </w:r>
      <w:r>
        <w:rPr>
          <w:rStyle w:val="CharStyle28"/>
          <w:color w:val="464648"/>
          <w:sz w:val="10"/>
        </w:rPr>
        <w:t>2020-21,..</w:t>
      </w:r>
    </w:p>
    <w:p>
      <w:pPr>
        <w:widowControl w:val="0"/>
        <w:jc w:val="center"/>
        <w:rPr>
          <w:sz w:val="2"/>
        </w:rPr>
      </w:pPr>
      <w:r>
        <w:drawing>
          <wp:inline>
            <wp:extent cx="2962910" cy="1609090"/>
            <wp:docPr id="121" name="Picutre 121"/>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8"/>
                    <a:stretch/>
                  </pic:blipFill>
                  <pic:spPr>
                    <a:xfrm>
                      <a:ext cx="2962910" cy="1609090"/>
                    </a:xfrm>
                    <a:prstGeom prst="rect"/>
                  </pic:spPr>
                </pic:pic>
              </a:graphicData>
            </a:graphic>
          </wp:inline>
        </w:drawing>
      </w:r>
    </w:p>
    <w:p>
      <w:pPr>
        <w:pStyle w:val="Style27"/>
        <w:keepNext w:val="0"/>
        <w:keepLines w:val="0"/>
        <w:widowControl w:val="0"/>
        <w:shd w:val="clear" w:color="auto" w:fill="auto"/>
        <w:spacing w:before="0" w:after="0" w:line="228" w:lineRule="auto"/>
        <w:ind w:left="0" w:right="0" w:firstLine="0"/>
        <w:jc w:val="center"/>
      </w:pPr>
      <w:r>
        <w:rPr>
          <w:rStyle w:val="CharStyle28"/>
          <w:color w:val="000000"/>
        </w:rPr>
        <w:t xml:space="preserve">années de retard</w:t>
      </w:r>
    </w:p>
    <w:p>
      <w:pPr>
        <w:pStyle w:val="Style27"/>
        <w:keepNext w:val="0"/>
        <w:keepLines w:val="0"/>
        <w:widowControl w:val="0"/>
        <w:shd w:val="clear" w:color="auto" w:fill="auto"/>
        <w:tabs>
          <w:tab w:pos="499" w:val="left"/>
          <w:tab w:pos="955" w:val="left"/>
          <w:tab w:pos="1368" w:val="left"/>
          <w:tab w:pos="1800" w:val="left"/>
          <w:tab w:pos="2232" w:val="left"/>
          <w:tab w:pos="2664" w:val="left"/>
          <w:tab w:pos="3072" w:val="left"/>
          <w:tab w:pos="3509" w:val="left"/>
          <w:tab w:pos="3941" w:val="left"/>
          <w:tab w:pos="4349" w:val="left"/>
        </w:tabs>
        <w:spacing w:before="0" w:after="0" w:line="252" w:lineRule="auto"/>
        <w:ind w:left="0" w:right="0" w:firstLine="0"/>
        <w:jc w:val="left"/>
        <w:rPr>
          <w:sz w:val="10"/>
        </w:rPr>
      </w:pPr>
      <w:r>
        <w:rPr>
          <w:rStyle w:val="CharStyle28"/>
          <w:color w:val="303030"/>
          <w:sz w:val="10"/>
        </w:rPr>
        <w:t xml:space="preserve">Pourcentage I I </w:t>
      </w:r>
      <w:r>
        <w:rPr>
          <w:rStyle w:val="CharStyle28"/>
          <w:sz w:val="10"/>
        </w:rPr>
        <w:t xml:space="preserve">I I I I I I I </w:t>
      </w:r>
      <w:r>
        <w:rPr>
          <w:rStyle w:val="CharStyle28"/>
          <w:color w:val="303030"/>
          <w:sz w:val="10"/>
        </w:rPr>
        <w:t xml:space="preserve">I </w:t>
      </w:r>
      <w:r>
        <w:rPr>
          <w:rStyle w:val="CharStyle28"/>
          <w:sz w:val="10"/>
        </w:rPr>
        <w:t xml:space="preserve">I </w:t>
      </w:r>
      <w:r>
        <w:rPr>
          <w:rStyle w:val="CharStyle28"/>
          <w:color w:val="303030"/>
          <w:sz w:val="10"/>
        </w:rPr>
        <w:t xml:space="preserve">I à distance </w:t>
      </w:r>
      <w:r>
        <w:rPr>
          <w:rStyle w:val="CharStyle28"/>
          <w:sz w:val="10"/>
        </w:rPr>
        <w:t>ou</w:t>
        <w:tab/>
        <w:t xml:space="preserve">0%- </w:t>
      </w:r>
      <w:r>
        <w:rPr>
          <w:rStyle w:val="CharStyle28"/>
          <w:color w:val="303030"/>
          <w:sz w:val="10"/>
        </w:rPr>
        <w:t>10-</w:t>
        <w:tab/>
        <w:t xml:space="preserve">20- </w:t>
      </w:r>
      <w:r>
        <w:rPr>
          <w:rStyle w:val="CharStyle28"/>
          <w:sz w:val="10"/>
        </w:rPr>
        <w:t>30-</w:t>
        <w:tab/>
        <w:t>40-</w:t>
        <w:tab/>
        <w:t>50-</w:t>
        <w:tab/>
        <w:t>ainsi-</w:t>
        <w:tab/>
        <w:t>70-</w:t>
        <w:tab/>
        <w:t>ainsi-</w:t>
        <w:tab/>
        <w:t>90-</w:t>
      </w:r>
    </w:p>
    <w:p>
      <w:pPr>
        <w:pStyle w:val="Style27"/>
        <w:keepNext w:val="0"/>
        <w:keepLines w:val="0"/>
        <w:widowControl w:val="0"/>
        <w:shd w:val="clear" w:color="auto" w:fill="auto"/>
        <w:tabs>
          <w:tab w:pos="499" w:val="left"/>
          <w:tab w:pos="955" w:val="left"/>
          <w:tab w:pos="1368" w:val="left"/>
          <w:tab w:pos="1800" w:val="left"/>
          <w:tab w:pos="2232" w:val="left"/>
          <w:tab w:pos="2664" w:val="left"/>
          <w:tab w:pos="3072" w:val="left"/>
          <w:tab w:pos="3509" w:val="left"/>
          <w:tab w:pos="3941" w:val="left"/>
          <w:tab w:pos="4349" w:val="left"/>
        </w:tabs>
        <w:spacing w:before="0" w:after="0" w:line="252" w:lineRule="auto"/>
        <w:ind w:left="0" w:right="0" w:firstLine="0"/>
        <w:jc w:val="both"/>
        <w:rPr>
          <w:sz w:val="10"/>
        </w:rPr>
      </w:pPr>
      <w:r>
        <w:rPr>
          <w:rStyle w:val="CharStyle28"/>
          <w:sz w:val="10"/>
        </w:rPr>
        <w:t>hybrid</w:t>
        <w:tab/>
        <w:t xml:space="preserve">10 %</w:t>
        <w:tab/>
        <w:t>20</w:t>
        <w:tab/>
        <w:t>30</w:t>
        <w:tab/>
        <w:t>40</w:t>
        <w:tab/>
        <w:t>50</w:t>
        <w:tab/>
        <w:t>60</w:t>
        <w:tab/>
        <w:t>70</w:t>
        <w:tab/>
        <w:t>80</w:t>
        <w:tab/>
        <w:t>90</w:t>
        <w:tab/>
        <w:t>100</w:t>
      </w:r>
    </w:p>
    <w:p>
      <w:pPr>
        <w:widowControl w:val="0"/>
        <w:spacing w:after="199" w:line="1" w:lineRule="exact"/>
      </w:pPr>
    </w:p>
    <w:p>
      <w:pPr>
        <w:pStyle w:val="Style32"/>
        <w:keepNext w:val="0"/>
        <w:keepLines w:val="0"/>
        <w:widowControl w:val="0"/>
        <w:shd w:val="clear" w:color="auto" w:fill="auto"/>
        <w:spacing w:before="0" w:after="0" w:line="290" w:lineRule="auto"/>
        <w:ind w:left="2320" w:right="0" w:firstLine="20"/>
        <w:jc w:val="left"/>
      </w:pPr>
      <w:r>
        <w:rPr>
          <w:rStyle w:val="CharStyle33"/>
        </w:rPr>
        <w:t xml:space="preserve">Source : Fable, Kane, Patterson, Reardon, Staiger et Stuart, </w:t>
      </w:r>
      <w:r>
        <w:rPr>
          <w:rStyle w:val="CharStyle33"/>
          <w:u w:val="single"/>
        </w:rPr>
        <w:t xml:space="preserve">« School District and Community Factors Associated </w:t>
      </w:r>
      <w:r>
        <w:rPr>
          <w:rStyle w:val="CharStyle33"/>
          <w:color w:val="656361"/>
          <w:u w:val="single"/>
        </w:rPr>
        <w:t xml:space="preserve">With </w:t>
      </w:r>
      <w:r>
        <w:rPr>
          <w:rStyle w:val="CharStyle33"/>
          <w:u w:val="single"/>
        </w:rPr>
        <w:t>Learnin</w:t>
      </w:r>
      <w:r>
        <w:rPr>
          <w:rStyle w:val="CharStyle33"/>
        </w:rPr>
        <w:t xml:space="preserve">g </w:t>
      </w:r>
      <w:r>
        <w:rPr>
          <w:rStyle w:val="CharStyle33"/>
          <w:u w:val="single"/>
        </w:rPr>
        <w:t xml:space="preserve">Loss Durin</w:t>
      </w:r>
      <w:r>
        <w:rPr>
          <w:rStyle w:val="CharStyle33"/>
        </w:rPr>
        <w:t xml:space="preserve">g </w:t>
      </w:r>
      <w:r>
        <w:rPr>
          <w:rStyle w:val="CharStyle33"/>
          <w:u w:val="single"/>
        </w:rPr>
        <w:t xml:space="preserve">the COVID-19 Pandemic</w:t>
      </w:r>
      <w:r>
        <w:rPr>
          <w:rStyle w:val="CharStyle33"/>
        </w:rPr>
        <w:t xml:space="preserve">». Les changements de score sont mesurés de 2019 à </w:t>
      </w:r>
      <w:r>
        <w:rPr>
          <w:rStyle w:val="CharStyle33"/>
          <w:color w:val="656361"/>
        </w:rPr>
        <w:t xml:space="preserve">2022. </w:t>
      </w:r>
      <w:r>
        <w:rPr>
          <w:rStyle w:val="CharStyle33"/>
        </w:rPr>
        <w:t xml:space="preserve">En personne signifie qu'un district offrait un apprentissage traditionnel en personne, même si tous les élèves n'étaient pas en</w:t>
        <w:softHyphen/>
        <w:t>personne.</w:t>
      </w:r>
    </w:p>
    <w:p>
      <w:pPr>
        <w:pStyle w:val="Style24"/>
        <w:keepNext w:val="0"/>
        <w:keepLines w:val="0"/>
        <w:widowControl w:val="0"/>
        <w:shd w:val="clear" w:color="auto" w:fill="auto"/>
        <w:spacing w:before="0" w:after="280" w:line="283" w:lineRule="auto"/>
        <w:ind w:left="0" w:right="0" w:firstLine="740"/>
        <w:jc w:val="left"/>
      </w:pPr>
      <w:r>
        <w:rPr>
          <w:rStyle w:val="CharStyle25"/>
        </w:rPr>
        <w:t xml:space="preserve">Fait troublant, ces baisses ont été les plus importantes parmi les enfants à faible revenu et les enfants issus de minorités raciales.</w:t>
        <w:footnoteReference w:id="299"/>
        <w:t xml:space="preserve"> Les écoles des zones urbaines fréquentées par des enfants à faible revenu et appartenant à des minorités ont été maintenues fermées plus longtemps.</w:t>
        <w:footnoteReference w:id="300"/>
        <w:t xml:space="preserve"> En conséquence, les étudiants noirs et latinos et les étudiants à faible revenu ont pris plus de retard dans l'apprentissage que leurs pairs.</w:t>
        <w:footnoteReference w:id="301"/>
      </w:r>
    </w:p>
    <w:p>
      <w:pPr>
        <w:pStyle w:val="Style24"/>
        <w:keepNext w:val="0"/>
        <w:keepLines w:val="0"/>
        <w:widowControl w:val="0"/>
        <w:shd w:val="clear" w:color="auto" w:fill="auto"/>
        <w:spacing w:before="0" w:after="280" w:line="283" w:lineRule="auto"/>
        <w:ind w:left="0" w:right="0" w:firstLine="740"/>
        <w:jc w:val="left"/>
      </w:pPr>
      <w:r>
        <w:rPr>
          <w:rStyle w:val="CharStyle25"/>
        </w:rPr>
        <w:t xml:space="preserve">Les effets des politiques de fermeture des écoles de l'ère pandémique continuent d'avoir un impact sur les élèves aujourd'hui. Les élèves ne se remettent pas de l'effet des politiques de fermeture des écoles: «Les analyses des résultats aux tests des étudiants ont montré à plusieurs reprises de graves baisses des résultats scolaires... l’accélération de l’apprentissage des étudiants... est notoirement difficile.»</w:t>
        <w:footnoteReference w:id="302"/>
        <w:t xml:space="preserve"> Plus troublante que l’incapacité des étudiants à «rattraper» ce qu’ils devraient être sur le plan académique, cependant, est le fait que le problème s’aggrave: «À l’exception des plus jeunes apprenants, les étudiants progressent plus lentement que leurs pairs d’avant la pandémie, ce qui creuse les écarts académiques.»</w:t>
        <w:footnoteReference w:id="303"/>
      </w:r>
    </w:p>
    <w:p>
      <w:pPr>
        <w:pStyle w:val="Style24"/>
        <w:keepNext w:val="0"/>
        <w:keepLines w:val="0"/>
        <w:widowControl w:val="0"/>
        <w:shd w:val="clear" w:color="auto" w:fill="auto"/>
        <w:spacing w:before="0" w:after="280" w:line="283" w:lineRule="auto"/>
        <w:ind w:left="0" w:right="0" w:firstLine="740"/>
        <w:jc w:val="left"/>
      </w:pPr>
      <w:r>
        <w:rPr>
          <w:rStyle w:val="CharStyle25"/>
        </w:rPr>
        <w:t xml:space="preserve">De nombreux élèves ne sont jamais retournés dans les écoles publiques à la suite de fermetures prolongées d'écoles pendant la pandémie. Alors que de nombreux élèves étaient inscrits dans des écoles privées,</w:t>
        <w:footnoteReference w:id="304"/>
        <w:t xml:space="preserve"> on estime que 230 000 élèves ont simplement «disparu» des écoles publiques depuis la fermeture des écoles par la pandémie. </w:t>
        <w:footnoteReference w:id="305"/>
      </w:r>
    </w:p>
    <w:p>
      <w:pPr>
        <w:pStyle w:val="Style24"/>
        <w:keepNext w:val="0"/>
        <w:keepLines w:val="0"/>
        <w:widowControl w:val="0"/>
        <w:shd w:val="clear" w:color="auto" w:fill="auto"/>
        <w:spacing w:before="0" w:after="280"/>
        <w:ind w:left="0" w:right="0" w:firstLine="740"/>
        <w:jc w:val="left"/>
      </w:pPr>
      <w:r>
        <w:rPr>
          <w:rStyle w:val="CharStyle25"/>
        </w:rPr>
        <w:t xml:space="preserve">Selon Eric Hanushek, économiste à la Hoover Institution, les étudiants de l'ère pandémique pourraient perdre environ 70 000 $ de revenu à vie.</w:t>
        <w:footnoteReference w:id="306"/>
        <w:t xml:space="preserve"> Ces pertes sont estimées à deux à neuf pour cent des gains à vie, en fonction de l'état dans lequel ils vivent et de la gravité des fermetures d'écoles.</w:t>
        <w:footnoteReference w:id="307"/>
        <w:t xml:space="preserve"> En raison d'une main-d'œuvre moins qualifiée, on estime que les États ont un produit intérieur brut (PIB) inférieur de 0,6 à 2,9%, car les pertes sociétales totales pourraient s'élever à 28 000 milliards de dollars au cours du siècle.</w:t>
        <w:footnoteReference w:id="308"/>
      </w:r>
    </w:p>
    <w:p>
      <w:pPr>
        <w:pStyle w:val="Style24"/>
        <w:keepNext w:val="0"/>
        <w:keepLines w:val="0"/>
        <w:widowControl w:val="0"/>
        <w:shd w:val="clear" w:color="auto" w:fill="auto"/>
        <w:spacing w:before="0" w:after="300" w:line="283" w:lineRule="auto"/>
        <w:ind w:left="0" w:right="0" w:firstLine="740"/>
        <w:jc w:val="left"/>
      </w:pPr>
      <w:r>
        <w:rPr>
          <w:rStyle w:val="CharStyle25"/>
        </w:rPr>
        <w:t xml:space="preserve">Le fait que ces enfants aient eu la mauvaise fortune d'être des enfants pendant une pandémie mondiale n'a été exacerbé que par les politiques de fermeture des écoles de l'ère pandémique. Alors que l'action initiale du gouvernement errant du côté de la prudence en réponse à une nouvelle pandémie est une ligne de conduite raisonnable, l'incapacité de s'adapter aux données actuelles et à la compréhension de la COVID-19 a coûté à ces étudiants un temps précieux à l'intérieur de la salle de classe. Encore une fois, l'étendue complète de la perte académique est impossible à mesurer. Cependant, les données sont suffisamment claires pour montrer que ces politiques ont eu un impact négatif significatif sur l'éducation.</w:t>
      </w:r>
    </w:p>
    <w:p>
      <w:pPr>
        <w:pStyle w:val="Style24"/>
        <w:keepNext w:val="0"/>
        <w:keepLines w:val="0"/>
        <w:widowControl w:val="0"/>
        <w:shd w:val="clear" w:color="auto" w:fill="auto"/>
        <w:spacing w:before="0" w:after="300" w:line="259" w:lineRule="auto"/>
        <w:ind w:left="1460" w:right="0" w:hanging="1460"/>
        <w:jc w:val="left"/>
      </w:pPr>
      <w:r>
        <w:rPr>
          <w:rStyle w:val="CharStyle25"/>
        </w:rPr>
        <w:t xml:space="preserve">CONSTATATION : Les fermetures d'écoles ont grandement contribué à l'augmentation des cas de problèmes de santé mentale et comportementale.</w:t>
      </w:r>
    </w:p>
    <w:p>
      <w:pPr>
        <w:pStyle w:val="Style24"/>
        <w:keepNext w:val="0"/>
        <w:keepLines w:val="0"/>
        <w:widowControl w:val="0"/>
        <w:shd w:val="clear" w:color="auto" w:fill="auto"/>
        <w:spacing w:before="0" w:after="300" w:line="276" w:lineRule="auto"/>
        <w:ind w:left="0" w:right="0" w:firstLine="740"/>
        <w:jc w:val="left"/>
      </w:pPr>
      <w:r>
        <w:rPr>
          <w:rStyle w:val="CharStyle25"/>
        </w:rPr>
        <w:t xml:space="preserve">Pendant la pandémie, les taux de détresse psychologique chez les élèves, y compris l'anxiété, la dépression et d'autres problèmes de santé mentale, ont considérablement augmenté. Entre autres choses, ces problèmes de santé mentale peuvent être attribués aux politiques de fermeture des écoles de l'ère pandémique, qui ont isolé les élèves de leurs pairs, restreint les sports et autres activités parascolaires et conduit à un temps d'écran excessif.</w:t>
        <w:footnoteReference w:id="309"/>
      </w:r>
    </w:p>
    <w:p>
      <w:pPr>
        <w:pStyle w:val="Style24"/>
        <w:keepNext w:val="0"/>
        <w:keepLines w:val="0"/>
        <w:widowControl w:val="0"/>
        <w:shd w:val="clear" w:color="auto" w:fill="auto"/>
        <w:spacing w:before="0" w:after="300"/>
        <w:ind w:left="0" w:right="0" w:firstLine="740"/>
        <w:jc w:val="left"/>
      </w:pPr>
      <w:r>
        <w:rPr>
          <w:rStyle w:val="CharStyle25"/>
        </w:rPr>
        <w:t xml:space="preserve">Au départ, les fermetures d'écoles touchaient principalement les élèves souffrant de troubles mentaux préexistants. Bon nombre de ces élèves ont perdu l'accès aux ressources essentielles en santé mentale habituellement disponibles à l'école.</w:t>
        <w:footnoteReference w:id="310"/>
        <w:t xml:space="preserve"> Cependant, au fur et à mesure que la pandémie progressait, ces problèmes de santé mentale se sont étendus pour toucher tous les élèves.</w:t>
        <w:footnoteReference w:id="311"/>
      </w:r>
    </w:p>
    <w:p>
      <w:pPr>
        <w:pStyle w:val="Style24"/>
        <w:keepNext w:val="0"/>
        <w:keepLines w:val="0"/>
        <w:widowControl w:val="0"/>
        <w:shd w:val="clear" w:color="auto" w:fill="auto"/>
        <w:spacing w:before="0" w:after="300" w:line="283" w:lineRule="auto"/>
        <w:ind w:left="0" w:right="0" w:firstLine="740"/>
        <w:jc w:val="left"/>
      </w:pPr>
      <w:r>
        <w:rPr>
          <w:rStyle w:val="CharStyle25"/>
        </w:rPr>
        <w:t xml:space="preserve">En 2021, selon les données du CDC, 37% des lycéens ont déclaré avoir eu une mauvaise santé mentale pendant la pandémie de COVID-19 et 44% ont déclaré se sentir constamment tristes ou désespérés au cours de l'année écoulée, contre 36,7% en 2019. </w:t>
        <w:footnoteReference w:id="312"/>
      </w:r>
    </w:p>
    <w:p>
      <w:pPr>
        <w:pStyle w:val="Style24"/>
        <w:keepNext w:val="0"/>
        <w:keepLines w:val="0"/>
        <w:widowControl w:val="0"/>
        <w:shd w:val="clear" w:color="auto" w:fill="auto"/>
        <w:spacing w:before="0" w:after="300" w:line="283" w:lineRule="auto"/>
        <w:ind w:left="0" w:right="0" w:firstLine="740"/>
        <w:jc w:val="left"/>
      </w:pPr>
      <w:r>
        <w:rPr>
          <w:rStyle w:val="CharStyle25"/>
        </w:rPr>
        <w:t xml:space="preserve">Les tentatives de suicide ont fortement augmenté chez les adolescents avec des tentatives de suicide chez les filles de 12 à 17 ans, augmentant de 51% entre le début de 2019 et le début de 2021. </w:t>
        <w:footnoteReference w:id="313"/>
      </w:r>
    </w:p>
    <w:p>
      <w:pPr>
        <w:pStyle w:val="Style24"/>
        <w:keepNext w:val="0"/>
        <w:keepLines w:val="0"/>
        <w:widowControl w:val="0"/>
        <w:shd w:val="clear" w:color="auto" w:fill="auto"/>
        <w:spacing w:before="0" w:after="300" w:line="283" w:lineRule="auto"/>
        <w:ind w:left="0" w:right="0" w:firstLine="740"/>
        <w:jc w:val="left"/>
      </w:pPr>
      <w:r>
        <w:rPr>
          <w:rStyle w:val="CharStyle25"/>
        </w:rPr>
        <w:t xml:space="preserve">Une étude des NIH de 2021 a reconnu que les perturbations de la vie quotidienne liées à la COVID-19 ont entraîné une augmentation de l'anxiété et de la dépression, ce qui a conduit les adolescents à s'automédiquer.</w:t>
        <w:footnoteReference w:id="314"/>
        <w:t xml:space="preserve"> En conséquence, le chirurgien général américain a émis un avertissement et l’American Academy of Pediatrics a déclaré l’état d’urgence national en matière de santé mentale des enfants.</w:t>
        <w:footnoteReference w:id="315"/>
      </w:r>
    </w:p>
    <w:p>
      <w:pPr>
        <w:pStyle w:val="Style24"/>
        <w:keepNext w:val="0"/>
        <w:keepLines w:val="0"/>
        <w:widowControl w:val="0"/>
        <w:shd w:val="clear" w:color="auto" w:fill="auto"/>
        <w:spacing w:before="0" w:after="300" w:line="283" w:lineRule="auto"/>
        <w:ind w:left="0" w:right="0" w:firstLine="760"/>
        <w:jc w:val="both"/>
      </w:pPr>
      <w:r>
        <w:rPr>
          <w:rStyle w:val="CharStyle25"/>
        </w:rPr>
        <w:t xml:space="preserve">Des rapports ont montré que pour «les enfants âgés de 11 à 17 ans, des semaines supplémentaires de scolarisation à domicile au cours des premiers mois de la pandémie étaient corrélées à l’aggravation des mesures de santé mentale».</w:t>
        <w:footnoteReference w:id="316"/>
        <w:t xml:space="preserve"> Cette étude a révélé que «les enfants plus jeunes étaient plus durement touchés», une conséquence troublante, encore prévisible, de l’isolement des plus vulnérables de la population.</w:t>
        <w:footnoteReference w:id="317"/>
      </w:r>
    </w:p>
    <w:p>
      <w:pPr>
        <w:pStyle w:val="Style24"/>
        <w:keepNext w:val="0"/>
        <w:keepLines w:val="0"/>
        <w:widowControl w:val="0"/>
        <w:shd w:val="clear" w:color="auto" w:fill="auto"/>
        <w:spacing w:before="0" w:after="300" w:line="283" w:lineRule="auto"/>
        <w:ind w:left="0" w:right="0" w:firstLine="760"/>
        <w:jc w:val="both"/>
      </w:pPr>
      <w:r>
        <w:rPr>
          <w:rStyle w:val="CharStyle25"/>
        </w:rPr>
        <w:t xml:space="preserve">Les données montrent clairement que les fermetures prologues d'écoles ont eu un effet néfaste sur la santé mentale des élèves. La science montre que les fermetures prolongées ont eu des effets négatifs. Lorsque la science a montré que les fermetures n'étaient plus nécessaires, les politiques auraient dû agir pour atténuer les dommages causés.</w:t>
      </w:r>
    </w:p>
    <w:p>
      <w:pPr>
        <w:pStyle w:val="Style24"/>
        <w:keepNext w:val="0"/>
        <w:keepLines w:val="0"/>
        <w:widowControl w:val="0"/>
        <w:shd w:val="clear" w:color="auto" w:fill="auto"/>
        <w:spacing w:before="0" w:after="300" w:line="264" w:lineRule="auto"/>
        <w:ind w:left="1460" w:right="0" w:hanging="1460"/>
        <w:jc w:val="left"/>
      </w:pPr>
      <w:r>
        <w:rPr>
          <w:rStyle w:val="CharStyle25"/>
        </w:rPr>
        <w:t xml:space="preserve">CONSTATATION : Les fermetures d'écoles ont fait une tendance déjà alarmante à la détérioration de la santé physique.</w:t>
      </w:r>
    </w:p>
    <w:p>
      <w:pPr>
        <w:pStyle w:val="Style24"/>
        <w:keepNext w:val="0"/>
        <w:keepLines w:val="0"/>
        <w:widowControl w:val="0"/>
        <w:shd w:val="clear" w:color="auto" w:fill="auto"/>
        <w:spacing w:before="0" w:after="300" w:line="283" w:lineRule="auto"/>
        <w:ind w:left="0" w:right="0" w:firstLine="760"/>
        <w:jc w:val="left"/>
      </w:pPr>
      <w:r>
        <w:rPr>
          <w:rStyle w:val="CharStyle25"/>
        </w:rPr>
        <w:t xml:space="preserve">Les politiques de fermeture des écoles à l’ère de la pandémie ont non seulement affecté la santé mentale des universitaires et des étudiants, mais ont également eu des conséquences négatives sur leur santé physique. Comme pour les résultats scolaires et la santé mentale des élèves, les effets physiques négatifs étaient prévisibles; les fermetures prolongées d’écoles ont eu une incidence mesurée sur la santé physique des élèves.</w:t>
        <w:footnoteReference w:id="318"/>
        <w:t xml:space="preserve"> Entre autres choses, la scolarité en personne permet aux élèves d'avoir accès à des repas nutritifs et à des activités physiques régulières, y compris des cours d'exercice, des sports et d'autres activités parascolaires.</w:t>
        <w:footnoteReference w:id="319"/>
      </w:r>
    </w:p>
    <w:p>
      <w:pPr>
        <w:pStyle w:val="Style24"/>
        <w:keepNext w:val="0"/>
        <w:keepLines w:val="0"/>
        <w:widowControl w:val="0"/>
        <w:shd w:val="clear" w:color="auto" w:fill="auto"/>
        <w:spacing w:before="0" w:after="300" w:line="283" w:lineRule="auto"/>
        <w:ind w:left="0" w:right="0" w:firstLine="760"/>
        <w:jc w:val="left"/>
      </w:pPr>
      <w:r>
        <w:rPr>
          <w:rStyle w:val="CharStyle25"/>
        </w:rPr>
        <w:t xml:space="preserve">As a result of school closures, physical activity significantly decreased and sedentary behavior, including but not limited to watching television, playing video games, and using the computer, increased.</w:t>
        <w:footnoteReference w:id="320"/>
      </w:r>
    </w:p>
    <w:p>
      <w:pPr>
        <w:pStyle w:val="Style24"/>
        <w:keepNext w:val="0"/>
        <w:keepLines w:val="0"/>
        <w:widowControl w:val="0"/>
        <w:shd w:val="clear" w:color="auto" w:fill="auto"/>
        <w:spacing w:before="0" w:after="300" w:line="283" w:lineRule="auto"/>
        <w:ind w:left="0" w:right="0" w:firstLine="760"/>
        <w:jc w:val="left"/>
      </w:pPr>
      <w:r>
        <w:rPr>
          <w:rStyle w:val="CharStyle25"/>
        </w:rPr>
        <w:t xml:space="preserve">En conséquence, le taux d'augmentation de l'IMC chez les enfants âgés de 2 à 19 ans a environ doublé par rapport aux taux d'avant la pandémie.</w:t>
        <w:footnoteReference w:id="321"/>
        <w:t xml:space="preserve"> Le nombre de nouveaux cas de diabète de type 2 chez les enfants au cours de la première année de la pandémie a augmenté de 182 % par rapport aux niveaux d'avant la pandémie. </w:t>
        <w:footnoteReference w:id="322"/>
        <w:t xml:space="preserve">Ces augmentations touchent de façon disproportionnée les jeunes noirs.</w:t>
        <w:footnoteReference w:id="323"/>
      </w:r>
    </w:p>
    <w:p>
      <w:pPr>
        <w:pStyle w:val="Style24"/>
        <w:keepNext w:val="0"/>
        <w:keepLines w:val="0"/>
        <w:widowControl w:val="0"/>
        <w:shd w:val="clear" w:color="auto" w:fill="auto"/>
        <w:spacing w:before="0" w:after="300" w:line="283" w:lineRule="auto"/>
        <w:ind w:left="0" w:right="0" w:firstLine="760"/>
        <w:jc w:val="left"/>
      </w:pPr>
      <w:r>
        <w:rPr>
          <w:rStyle w:val="CharStyle25"/>
        </w:rPr>
        <w:t xml:space="preserve">Il ne devrait pas être choquant que l’isolement ne soit pas sain, à tous égards, pour les personnes, et encore moins pour les enfants. Les fermetures prolongées d'écoles ont exacerbé les problèmes de santé physique tout en entravant les activités qui, autrement, atténueraient ces problèmes, telles que le sport et l'exercice collectifs, et une alimentation saine.</w:t>
      </w:r>
    </w:p>
    <w:p>
      <w:pPr>
        <w:pStyle w:val="Style24"/>
        <w:keepNext w:val="0"/>
        <w:keepLines w:val="0"/>
        <w:widowControl w:val="0"/>
        <w:shd w:val="clear" w:color="auto" w:fill="auto"/>
        <w:spacing w:before="0" w:after="300" w:line="283" w:lineRule="auto"/>
        <w:ind w:left="0" w:right="0" w:firstLine="760"/>
        <w:jc w:val="left"/>
      </w:pPr>
      <w:r>
        <w:rPr>
          <w:rStyle w:val="CharStyle25"/>
        </w:rPr>
        <w:t xml:space="preserve">Généralement, le système immunitaire bénéficie de l'activité physique. Il est bien établi que la prise de poids accélérée et l'obésité peuvent causer des changements métaboliques à long terme qui augmentent le risque de maladie cardiaque, de cancer, de problèmes de santé mentale et de diabète, ainsi que des complications avec la morbidité et la mortalité prématurée subséquentes, chez les enfants.</w:t>
        <w:footnoteReference w:id="324"/>
        <w:t xml:space="preserve"> Pendant la pandémie, des études ont montré que les enfants obèses étaient plus susceptibles de souffrir de complications respiratoires graves à la suite de la COVID-19.</w:t>
        <w:footnoteReference w:id="325"/>
      </w:r>
    </w:p>
    <w:p>
      <w:pPr>
        <w:pStyle w:val="Style24"/>
        <w:keepNext w:val="0"/>
        <w:keepLines w:val="0"/>
        <w:widowControl w:val="0"/>
        <w:shd w:val="clear" w:color="auto" w:fill="auto"/>
        <w:spacing w:before="0" w:after="300" w:line="283" w:lineRule="auto"/>
        <w:ind w:left="0" w:right="0" w:firstLine="760"/>
        <w:jc w:val="left"/>
      </w:pPr>
      <w:r>
        <w:rPr>
          <w:rStyle w:val="CharStyle25"/>
        </w:rPr>
        <w:t xml:space="preserve">Encore une fois, les avertissements des scientifiques, et la compréhension du bon sens que l'isolement est mauvais pour un enfant, ont été largement ignorés par les décideurs. Une préimpression de février 2021 d’une étude (finalement publiée en janvier 2022) a révélé un impact négatif sur la santé des enfants en raison des fermetures d’écoles et a mis en garde contre des données déjà troublantes qui ne feraient que s’aggraver si les fermetures se poursuivaient:</w:t>
      </w:r>
    </w:p>
    <w:p>
      <w:pPr>
        <w:pStyle w:val="Style24"/>
        <w:keepNext w:val="0"/>
        <w:keepLines w:val="0"/>
        <w:widowControl w:val="0"/>
        <w:shd w:val="clear" w:color="auto" w:fill="auto"/>
        <w:spacing w:before="0" w:after="300" w:line="283" w:lineRule="auto"/>
        <w:ind w:left="760" w:right="0" w:firstLine="0"/>
        <w:jc w:val="both"/>
      </w:pPr>
      <w:r>
        <w:rPr>
          <w:rStyle w:val="CharStyle25"/>
        </w:rPr>
        <w:t xml:space="preserve">Les données disponibles sont à court terme et les préjudices à plus long terme sont susceptibles d'être amplifiés par d'autres fermetures d'écoles. Il est urgent de disposer de données sur les impacts à plus long terme en utilisant des modèles de recherche solides, en particulier parmi les groupes vulnérables. Ces résultats sont importants pour les décideurs qui cherchent à équilibrer les risques de transmission par les enfants d'âge scolaire avec les méfaits de la fermeture des écoles.</w:t>
        <w:footnoteReference w:id="326"/>
      </w:r>
    </w:p>
    <w:p>
      <w:pPr>
        <w:pStyle w:val="Style24"/>
        <w:keepNext w:val="0"/>
        <w:keepLines w:val="0"/>
        <w:widowControl w:val="0"/>
        <w:shd w:val="clear" w:color="auto" w:fill="auto"/>
        <w:spacing w:before="0" w:after="300" w:line="288" w:lineRule="auto"/>
        <w:ind w:left="0" w:right="0" w:firstLine="760"/>
        <w:jc w:val="left"/>
      </w:pPr>
      <w:r>
        <w:rPr>
          <w:rStyle w:val="CharStyle25"/>
        </w:rPr>
        <w:t xml:space="preserve">Malgré les preuves d'une morbidité incroyablement faible chez les enfants, les étudiants n'ont pas bénéficié d'une politique équilibrée.</w:t>
      </w:r>
    </w:p>
    <w:p>
      <w:pPr>
        <w:pStyle w:val="Style18"/>
        <w:keepNext w:val="0"/>
        <w:keepLines w:val="0"/>
        <w:widowControl w:val="0"/>
        <w:pBdr>
          <w:bottom w:val="single" w:sz="4" w:space="0" w:color="auto"/>
        </w:pBdr>
        <w:shd w:val="clear" w:color="auto" w:fill="auto"/>
        <w:spacing w:before="0" w:after="320" w:line="240" w:lineRule="auto"/>
        <w:ind w:left="140" w:right="0" w:firstLine="0"/>
        <w:jc w:val="left"/>
        <w:rPr>
          <w:sz w:val="28"/>
        </w:rPr>
      </w:pPr>
      <w:r>
        <w:rPr>
          <w:rStyle w:val="CharStyle19"/>
          <w:color w:val="0E2841"/>
          <w:sz w:val="28"/>
        </w:rPr>
        <w:t xml:space="preserve">Coopération du pouvoir exécutif et d'autres entités avec le Congrès, les inspecteurs généraux, le Government Accountability Office et d'autres entités dans le cadre de la surveillance de la préparation et de la réponse à la pandémie de coronavirus</w:t>
      </w:r>
    </w:p>
    <w:p>
      <w:pPr>
        <w:pStyle w:val="Style24"/>
        <w:keepNext w:val="0"/>
        <w:keepLines w:val="0"/>
        <w:widowControl w:val="0"/>
        <w:shd w:val="clear" w:color="auto" w:fill="auto"/>
        <w:spacing w:before="0" w:line="264" w:lineRule="auto"/>
        <w:ind w:left="860" w:right="0" w:hanging="720"/>
        <w:jc w:val="left"/>
      </w:pPr>
      <w:r>
        <w:rPr>
          <w:rStyle w:val="CharStyle25"/>
          <w:color w:val="303030"/>
        </w:rPr>
        <w:t xml:space="preserve">I. </w:t>
      </w:r>
      <w:r>
        <w:rPr>
          <w:rStyle w:val="CharStyle25"/>
        </w:rPr>
        <w:t xml:space="preserve">Le ministère américain de la santé et des services sociaux de l’administration Biden a fait obstacle à l’enquête du sous-comité restreint</w:t>
      </w:r>
    </w:p>
    <w:p>
      <w:pPr>
        <w:pStyle w:val="Style24"/>
        <w:keepNext w:val="0"/>
        <w:keepLines w:val="0"/>
        <w:widowControl w:val="0"/>
        <w:shd w:val="clear" w:color="auto" w:fill="auto"/>
        <w:spacing w:before="0"/>
        <w:ind w:left="140" w:right="0" w:firstLine="720"/>
        <w:jc w:val="left"/>
      </w:pPr>
      <w:r>
        <w:rPr>
          <w:rStyle w:val="CharStyle25"/>
        </w:rPr>
        <w:t xml:space="preserve">Le pouvoir exécutif a largement coordonné la réponse du gouvernement américain à la pandémie, en particulier par l’intermédiaire de départements tels que le HHS et ses différentes sous-agences. Par conséquent, le sous-comité restreint, afin de s'acquitter correctement de ses responsabilités législatives et de surveillance prescrites par la Constitution, a demandé des documents et des informations au HHS et à ses sous-agences. Cela comprenait à la fois la production de documents sous-jacents et les témoignages de nombreux responsables de l'agence.</w:t>
      </w:r>
    </w:p>
    <w:p>
      <w:pPr>
        <w:pStyle w:val="Style24"/>
        <w:keepNext w:val="0"/>
        <w:keepLines w:val="0"/>
        <w:widowControl w:val="0"/>
        <w:shd w:val="clear" w:color="auto" w:fill="auto"/>
        <w:spacing w:before="0"/>
        <w:ind w:left="140" w:right="0" w:firstLine="720"/>
        <w:jc w:val="left"/>
      </w:pPr>
      <w:r>
        <w:rPr>
          <w:rStyle w:val="CharStyle25"/>
        </w:rPr>
        <w:t xml:space="preserve">Au cours de l’enquête du sous-comité restreint, HHS a cherché à entraver et à ralentir les demandes de documents essentiels à notre enquête. Le HHS a également entravé à plusieurs reprises l’accès du sous-comité restreint aux principaux témoins et leurs entretiens. En fait, sur la base des déclarations de Mme Egorin, il semble que HHS ait intentionnellement sous-financé sa composante qui répond aux demandes de contrôle législatif comme prétexte pour expliquer pourquoi ils ne peuvent pas se conformer en temps opportun aux demandes du Congrès.</w:t>
        <w:footnoteReference w:id="327"/>
        <w:t xml:space="preserve"> HHS n’a pas spécifiquement réfuté ce point dans des lettres ultérieures.</w:t>
        <w:footnoteReference w:id="328"/>
        <w:t xml:space="preserve"> En outre, la députée Jill Tokuda (D-HI) a offert à Mme Egorin l'occasion de réfuter intentionnellement le sous-financement de son bureau législatif lors de son témoignage devant le sous-comité, mais a choisi de ne pas réfuter ce point. </w:t>
        <w:footnoteReference w:id="329"/>
      </w:r>
    </w:p>
    <w:p>
      <w:pPr>
        <w:pStyle w:val="Style24"/>
        <w:keepNext w:val="0"/>
        <w:keepLines w:val="0"/>
        <w:widowControl w:val="0"/>
        <w:shd w:val="clear" w:color="auto" w:fill="auto"/>
        <w:spacing w:before="0" w:line="218" w:lineRule="auto"/>
        <w:ind w:left="1580" w:right="0" w:hanging="720"/>
        <w:jc w:val="left"/>
      </w:pPr>
      <w:r>
        <w:rPr>
          <w:rStyle w:val="CharStyle25"/>
          <w:u w:val="single"/>
        </w:rPr>
        <w:t xml:space="preserve">L'honorable Melanie Egorin (31 janvier 2024)</w:t>
      </w:r>
    </w:p>
    <w:p>
      <w:pPr>
        <w:pStyle w:val="Style24"/>
        <w:keepNext w:val="0"/>
        <w:keepLines w:val="0"/>
        <w:widowControl w:val="0"/>
        <w:shd w:val="clear" w:color="auto" w:fill="auto"/>
        <w:spacing w:before="0"/>
        <w:ind w:left="1580" w:right="0" w:hanging="720"/>
        <w:jc w:val="left"/>
      </w:pPr>
      <w:r>
        <w:rPr>
          <w:rStyle w:val="CharStyle25"/>
        </w:rPr>
        <w:t xml:space="preserve">Q. Merci, monsieur le président. Avant de commencer, j'aimerais prendre un moment pour clarifier certaines choses pour le disque. Nous avons entendu des accusations selon lesquelles le ministère a intentionnellement consacré des ressources minimales à la gestion de la surveillance et des enquêtes du Congrès, mais rappelons également aux gens que chaque jour, votre principale responsabilité est la santé et le bien-être de 340 millions d'Américains, en les maintenant en vie et en bonne santé. Secrétaire adjoint Egorin, voudriez-vous clarifier quelque chose brièvement concernant cette affirmation?</w:t>
      </w:r>
    </w:p>
    <w:p>
      <w:pPr>
        <w:pStyle w:val="Style24"/>
        <w:keepNext w:val="0"/>
        <w:keepLines w:val="0"/>
        <w:widowControl w:val="0"/>
        <w:shd w:val="clear" w:color="auto" w:fill="auto"/>
        <w:spacing w:before="0" w:after="280" w:line="259" w:lineRule="auto"/>
        <w:ind w:left="1580" w:right="0" w:hanging="720"/>
        <w:jc w:val="left"/>
      </w:pPr>
      <w:r>
        <w:rPr>
          <w:rStyle w:val="CharStyle25"/>
        </w:rPr>
        <w:t xml:space="preserve">R. Je veux simplement reconnaître que la mission du ministère est de s'assurer que nous prenons soin du bien-être du peuple américain et qu'il s'agit d'un très large éventail d'activités.</w:t>
      </w:r>
    </w:p>
    <w:tbl>
      <w:tblPr>
        <w:tblOverlap w:val="never"/>
        <w:jc w:val="center"/>
        <w:tblLayout w:type="fixed"/>
      </w:tblPr>
      <w:tblGrid>
        <w:gridCol w:w="1402"/>
        <w:gridCol w:w="8242"/>
      </w:tblGrid>
      <w:tr>
        <w:trPr>
          <w:trHeight w:val="926" w:hRule="exact"/>
        </w:trPr>
        <w:tc>
          <w:tcPr>
            <w:tcBorders>
              <w:top w:val="single" w:sz="4"/>
              <w:left w:val="single" w:sz="4"/>
              <w:bottom w:val="single" w:sz="4"/>
            </w:tcBorders>
            <w:shd w:val="clear" w:color="auto" w:fill="D9F3D0"/>
            <w:vAlign w:val="top"/>
          </w:tcPr>
          <w:p>
            <w:pPr>
              <w:pStyle w:val="Style18"/>
              <w:keepNext w:val="0"/>
              <w:keepLines w:val="0"/>
              <w:widowControl w:val="0"/>
              <w:shd w:val="clear" w:color="auto" w:fill="auto"/>
              <w:spacing w:before="0" w:after="0" w:line="240" w:lineRule="auto"/>
              <w:ind w:left="0" w:right="0" w:firstLine="0"/>
              <w:jc w:val="center"/>
            </w:pPr>
            <w:r>
              <w:rPr>
                <w:rStyle w:val="CharStyle19"/>
              </w:rPr>
              <w:t xml:space="preserve">CONSTATATION :</w:t>
            </w:r>
          </w:p>
        </w:tc>
        <w:tc>
          <w:tcPr>
            <w:tcBorders>
              <w:top w:val="single" w:sz="4"/>
              <w:bottom w:val="single" w:sz="4"/>
              <w:right w:val="single" w:sz="4"/>
            </w:tcBorders>
            <w:shd w:val="clear" w:color="auto" w:fill="D9F3D0"/>
            <w:vAlign w:val="bottom"/>
          </w:tcPr>
          <w:p>
            <w:pPr>
              <w:pStyle w:val="Style18"/>
              <w:keepNext w:val="0"/>
              <w:keepLines w:val="0"/>
              <w:widowControl w:val="0"/>
              <w:shd w:val="clear" w:color="auto" w:fill="auto"/>
              <w:spacing w:before="0" w:after="0"/>
              <w:ind w:left="180" w:right="0" w:firstLine="0"/>
              <w:jc w:val="left"/>
            </w:pPr>
            <w:r>
              <w:rPr>
                <w:rStyle w:val="CharStyle19"/>
              </w:rPr>
              <w:t xml:space="preserve">Le ministère américain de la santé et des services sociaux de l’administration Biden a délibérément occulté des éléments de preuve qui pourraient incriminer ou embarrasser les hauts fonctionnaires de la santé publique.</w:t>
            </w:r>
          </w:p>
        </w:tc>
      </w:tr>
    </w:tbl>
    <w:p>
      <w:pPr>
        <w:widowControl w:val="0"/>
        <w:spacing w:after="279" w:line="1" w:lineRule="exact"/>
      </w:pPr>
    </w:p>
    <w:p>
      <w:pPr>
        <w:pStyle w:val="Style24"/>
        <w:keepNext w:val="0"/>
        <w:keepLines w:val="0"/>
        <w:widowControl w:val="0"/>
        <w:shd w:val="clear" w:color="auto" w:fill="auto"/>
        <w:spacing w:before="0" w:after="1640"/>
        <w:ind w:left="140" w:right="0" w:firstLine="720"/>
        <w:jc w:val="left"/>
      </w:pPr>
      <w:r>
        <w:rPr>
          <w:rStyle w:val="CharStyle25"/>
        </w:rPr>
        <w:t xml:space="preserve">Le volume de production de documents par HHS est totalement insatisfaisant. Les demandes de documents du sous-comité restreint concernant les origines de la COVID-19 et le financement de la recherche sur le gain de fonction illustrent cette conclusion. Au cours de son enquête de deux ans, le Sous-comité spécial a fait des demandes répétées de documents concernant les origines de la COVID-19 et le financement américain de la recherche sur le gain de fonction. Afin de limiter les efforts de recherche du HHS, le sous-comité restreint a identifié des employés et des termes de recherche spécifiques.</w:t>
        <w:footnoteReference w:id="330"/>
        <w:t xml:space="preserve"> Au cours des 22 derniers mois, au cours desquels elle était censée rechercher les comptes de messagerie de plusieurs employés à l’aide d’une longue liste de termes de recherche, HHS n’a produit que 14 799 pages de documents qui, selon elle, se rapportent aux origines de la COVID-19 ou à l’obtention de recherches fonctionnelles. La grande majorité de ces documents contenaient une certaine forme d'expurgation ou étaient déjà entièrement accessibles au public. En revanche, une recherche FOIA sur le compte de courrier électronique officiel du Dr Morens uniquement pour des documents entre lui et le Dr Daszak ou en utilisant les termes «Daszac» [sic] ou «gain de fonction» a produit plus de 30 000 pages de documents.</w:t>
        <w:footnoteReference w:id="331"/>
      </w:r>
    </w:p>
    <w:p>
      <w:pPr>
        <w:pStyle w:val="Style24"/>
        <w:keepNext w:val="0"/>
        <w:keepLines w:val="0"/>
        <w:widowControl w:val="0"/>
        <w:shd w:val="clear" w:color="auto" w:fill="auto"/>
        <w:spacing w:before="0" w:after="0" w:line="240" w:lineRule="auto"/>
        <w:ind w:left="0" w:right="0" w:firstLine="0"/>
        <w:jc w:val="center"/>
      </w:pPr>
      <w:r>
        <w:rPr>
          <w:rStyle w:val="CharStyle25"/>
        </w:rPr>
        <w:t xml:space="preserve">[REMAINDER OF PAGE INTENTIONALLY BLANK]</w:t>
      </w:r>
    </w:p>
    <w:p>
      <w:pPr>
        <w:pStyle w:val="Style18"/>
        <w:keepNext w:val="0"/>
        <w:keepLines w:val="0"/>
        <w:widowControl w:val="0"/>
        <w:shd w:val="clear" w:color="auto" w:fill="auto"/>
        <w:spacing w:before="0" w:after="0" w:line="240" w:lineRule="auto"/>
        <w:ind w:left="0" w:right="0" w:firstLine="580"/>
        <w:jc w:val="left"/>
        <w:rPr>
          <w:sz w:val="24"/>
        </w:rPr>
      </w:pPr>
      <w:r>
        <w:rPr>
          <w:rStyle w:val="CharStyle19"/>
          <w:sz w:val="20"/>
        </w:rPr>
        <w:t xml:space="preserve">À partir de: </w:t>
      </w:r>
      <w:r>
        <w:rPr>
          <w:rStyle w:val="CharStyle19"/>
          <w:color w:val="303030"/>
        </w:rPr>
        <w:t xml:space="preserve">Travis Miller </w:t>
      </w:r>
      <w:r>
        <w:rPr>
          <w:rStyle w:val="CharStyle19"/>
          <w:rFonts w:ascii="Arial" w:hAnsi="Arial" w:cs="Arial" w:eastAsia="Arial"/>
          <w:color w:val="303030"/>
          <w:sz w:val="24"/>
        </w:rPr>
        <w:t xml:space="preserve">Informations personnelles</w:t>
      </w:r>
    </w:p>
    <w:p>
      <w:pPr>
        <w:pStyle w:val="Style24"/>
        <w:keepNext w:val="0"/>
        <w:keepLines w:val="0"/>
        <w:widowControl w:val="0"/>
        <w:shd w:val="clear" w:color="auto" w:fill="auto"/>
        <w:spacing w:before="0" w:after="0" w:line="240" w:lineRule="auto"/>
        <w:ind w:left="0" w:right="0" w:firstLine="580"/>
        <w:jc w:val="left"/>
      </w:pPr>
      <w:r>
        <w:rPr>
          <w:rStyle w:val="CharStyle25"/>
          <w:color w:val="303030"/>
          <w:sz w:val="20"/>
        </w:rPr>
        <w:t xml:space="preserve">Envoyé: </w:t>
      </w:r>
      <w:r>
        <w:rPr>
          <w:rStyle w:val="CharStyle25"/>
          <w:color w:val="464648"/>
        </w:rPr>
        <w:t xml:space="preserve">Jeudi 16 </w:t>
      </w:r>
      <w:r>
        <w:rPr>
          <w:rStyle w:val="CharStyle25"/>
          <w:color w:val="303030"/>
        </w:rPr>
        <w:t xml:space="preserve">septembre </w:t>
      </w:r>
      <w:r>
        <w:rPr>
          <w:rStyle w:val="CharStyle25"/>
          <w:color w:val="464648"/>
        </w:rPr>
        <w:t xml:space="preserve">2021 14:53 </w:t>
      </w:r>
    </w:p>
    <w:p>
      <w:pPr>
        <w:pStyle w:val="Style18"/>
        <w:keepNext w:val="0"/>
        <w:keepLines w:val="0"/>
        <w:widowControl w:val="0"/>
        <w:shd w:val="clear" w:color="auto" w:fill="auto"/>
        <w:spacing w:before="0" w:after="0" w:line="211" w:lineRule="auto"/>
        <w:ind w:left="0" w:right="0" w:firstLine="580"/>
        <w:jc w:val="left"/>
        <w:rPr>
          <w:sz w:val="24"/>
        </w:rPr>
      </w:pPr>
      <w:r>
        <w:rPr>
          <w:rStyle w:val="CharStyle19"/>
          <w:color w:val="303030"/>
          <w:sz w:val="20"/>
        </w:rPr>
        <w:t xml:space="preserve">À l'attention de: </w:t>
      </w:r>
      <w:r>
        <w:rPr>
          <w:rStyle w:val="CharStyle19"/>
          <w:color w:val="303030"/>
        </w:rPr>
        <w:t xml:space="preserve">Schofield, Robin </w:t>
      </w:r>
      <w:r>
        <w:rPr>
          <w:rStyle w:val="CharStyle19"/>
          <w:rFonts w:ascii="Arial" w:hAnsi="Arial" w:cs="Arial" w:eastAsia="Arial"/>
          <w:color w:val="303030"/>
          <w:sz w:val="24"/>
        </w:rPr>
        <w:t xml:space="preserve">(NnLNiAiD) </w:t>
      </w:r>
      <w:r>
        <w:rPr>
          <w:rStyle w:val="CharStyle19"/>
          <w:color w:val="303030"/>
        </w:rPr>
        <w:t xml:space="preserve">[F] </w:t>
      </w:r>
      <w:r>
        <w:rPr>
          <w:rStyle w:val="CharStyle19"/>
          <w:rFonts w:ascii="Arial" w:hAnsi="Arial" w:cs="Arial" w:eastAsia="Arial"/>
          <w:color w:val="303030"/>
          <w:sz w:val="24"/>
        </w:rPr>
        <w:t xml:space="preserve">Renseignements personnels</w:t>
      </w:r>
    </w:p>
    <w:p>
      <w:pPr>
        <w:pStyle w:val="Style24"/>
        <w:keepNext w:val="0"/>
        <w:keepLines w:val="0"/>
        <w:widowControl w:val="0"/>
        <w:shd w:val="clear" w:color="auto" w:fill="auto"/>
        <w:spacing w:before="0" w:after="700" w:line="240" w:lineRule="auto"/>
        <w:ind w:left="0" w:right="0" w:firstLine="580"/>
        <w:jc w:val="left"/>
      </w:pPr>
      <w:r>
        <w:rPr>
          <w:rStyle w:val="CharStyle25"/>
          <w:color w:val="303030"/>
          <w:sz w:val="20"/>
        </w:rPr>
        <w:t xml:space="preserve">Objet: </w:t>
      </w:r>
      <w:r>
        <w:rPr>
          <w:rStyle w:val="CharStyle25"/>
          <w:color w:val="303030"/>
        </w:rPr>
        <w:t xml:space="preserve">En ce qui concerne: Question concernant la demande FOIA </w:t>
      </w:r>
      <w:r>
        <w:rPr>
          <w:rStyle w:val="CharStyle25"/>
          <w:color w:val="464648"/>
        </w:rPr>
        <w:t>#57014</w:t>
      </w:r>
    </w:p>
    <w:p>
      <w:pPr>
        <w:pStyle w:val="Style24"/>
        <w:keepNext w:val="0"/>
        <w:keepLines w:val="0"/>
        <w:widowControl w:val="0"/>
        <w:shd w:val="clear" w:color="auto" w:fill="auto"/>
        <w:spacing w:before="0" w:after="700" w:line="240" w:lineRule="auto"/>
        <w:ind w:left="0" w:right="0" w:firstLine="580"/>
        <w:jc w:val="left"/>
      </w:pPr>
      <w:r>
        <w:rPr>
          <w:rStyle w:val="CharStyle25"/>
          <w:color w:val="303030"/>
        </w:rPr>
        <w:t xml:space="preserve">Salut Robin,</w:t>
      </w:r>
    </w:p>
    <w:p>
      <w:pPr>
        <w:pStyle w:val="Style24"/>
        <w:keepNext w:val="0"/>
        <w:keepLines w:val="0"/>
        <w:widowControl w:val="0"/>
        <w:shd w:val="clear" w:color="auto" w:fill="auto"/>
        <w:spacing w:before="0" w:after="220" w:line="240" w:lineRule="auto"/>
        <w:ind w:left="0" w:right="0" w:firstLine="580"/>
        <w:jc w:val="left"/>
      </w:pPr>
      <w:r>
        <w:rPr>
          <w:rStyle w:val="CharStyle25"/>
        </w:rPr>
        <w:t xml:space="preserve">J'accepte </w:t>
      </w:r>
      <w:r>
        <w:rPr>
          <w:rStyle w:val="CharStyle25"/>
          <w:color w:val="303030"/>
        </w:rPr>
        <w:t xml:space="preserve">les e-mails entre le Dr Morens et Daszac.</w:t>
      </w:r>
    </w:p>
    <w:p>
      <w:pPr>
        <w:pStyle w:val="Style24"/>
        <w:keepNext w:val="0"/>
        <w:keepLines w:val="0"/>
        <w:widowControl w:val="0"/>
        <w:shd w:val="clear" w:color="auto" w:fill="auto"/>
        <w:spacing w:before="0" w:after="220" w:line="240" w:lineRule="auto"/>
        <w:ind w:left="580" w:right="0" w:firstLine="0"/>
        <w:jc w:val="left"/>
      </w:pPr>
      <w:r>
        <w:rPr>
          <w:rStyle w:val="CharStyle25"/>
          <w:color w:val="303030"/>
        </w:rPr>
        <w:t xml:space="preserve">De plus, aux fins de limiter la portée, Pm OK limitera la demande de recherche de « gain de fonction » du 1er janvier 2020 au 31 mars 2020.</w:t>
      </w:r>
    </w:p>
    <w:p>
      <w:pPr>
        <w:pStyle w:val="Style24"/>
        <w:keepNext w:val="0"/>
        <w:keepLines w:val="0"/>
        <w:widowControl w:val="0"/>
        <w:shd w:val="clear" w:color="auto" w:fill="auto"/>
        <w:spacing w:before="0" w:after="700" w:line="240" w:lineRule="auto"/>
        <w:ind w:left="0" w:right="0" w:firstLine="580"/>
        <w:jc w:val="left"/>
      </w:pPr>
      <w:r>
        <w:rPr>
          <w:rStyle w:val="CharStyle25"/>
          <w:color w:val="303030"/>
        </w:rPr>
        <w:t>Merci,</w:t>
      </w:r>
    </w:p>
    <w:p>
      <w:pPr>
        <w:pStyle w:val="Style18"/>
        <w:keepNext w:val="0"/>
        <w:keepLines w:val="0"/>
        <w:widowControl w:val="0"/>
        <w:shd w:val="clear" w:color="auto" w:fill="auto"/>
        <w:spacing w:before="0" w:after="1160" w:line="240" w:lineRule="auto"/>
        <w:ind w:left="0" w:right="0" w:firstLine="580"/>
        <w:jc w:val="left"/>
      </w:pPr>
      <w:r>
        <w:rPr>
          <w:rStyle w:val="CharStyle19"/>
          <w:rFonts w:ascii="Arial" w:hAnsi="Arial" w:cs="Arial" w:eastAsia="Arial"/>
          <w:color w:val="464648"/>
        </w:rPr>
        <w:t>Travis</w:t>
      </w:r>
    </w:p>
    <w:p>
      <w:pPr>
        <w:pStyle w:val="Style24"/>
        <w:keepNext w:val="0"/>
        <w:keepLines w:val="0"/>
        <w:widowControl w:val="0"/>
        <w:shd w:val="clear" w:color="auto" w:fill="auto"/>
        <w:spacing w:before="0" w:after="0" w:line="240" w:lineRule="auto"/>
        <w:ind w:left="0" w:right="0" w:firstLine="580"/>
        <w:jc w:val="left"/>
      </w:pPr>
      <w:r>
        <w:rPr>
          <w:rStyle w:val="CharStyle25"/>
          <w:color w:val="303030"/>
        </w:rPr>
        <w:t xml:space="preserve">Le jeudi 16 septembre 2021 à 13h00 Schofield, Robin (NIH/NIAID) [EJ</w:t>
      </w:r>
    </w:p>
    <w:p>
      <w:pPr>
        <w:pStyle w:val="Style34"/>
        <w:keepNext/>
        <w:keepLines/>
        <w:widowControl w:val="0"/>
        <w:shd w:val="clear" w:color="auto" w:fill="auto"/>
        <w:spacing w:before="0" w:after="220" w:line="218" w:lineRule="auto"/>
        <w:ind w:left="0" w:right="0" w:firstLine="580"/>
        <w:jc w:val="left"/>
        <w:rPr>
          <w:sz w:val="22"/>
        </w:rPr>
      </w:pPr>
      <w:bookmarkStart w:id="18" w:name="bookmark18"/>
      <w:r>
        <w:rPr>
          <w:rStyle w:val="CharStyle35"/>
          <w:rFonts w:ascii="Arial" w:hAnsi="Arial" w:cs="Arial" w:eastAsia="Arial"/>
          <w:color w:val="303030"/>
          <w:sz w:val="26"/>
        </w:rPr>
        <w:t xml:space="preserve">Les renseignements personnels </w:t>
      </w:r>
      <w:r>
        <w:rPr>
          <w:rStyle w:val="CharStyle35"/>
          <w:color w:val="303030"/>
          <w:sz w:val="22"/>
        </w:rPr>
        <w:t xml:space="preserve">ont écrit:</w:t>
      </w:r>
      <w:bookmarkEnd w:id="18"/>
    </w:p>
    <w:p>
      <w:pPr>
        <w:pStyle w:val="Style24"/>
        <w:keepNext w:val="0"/>
        <w:keepLines w:val="0"/>
        <w:widowControl w:val="0"/>
        <w:shd w:val="clear" w:color="auto" w:fill="auto"/>
        <w:spacing w:before="0" w:after="700" w:line="240" w:lineRule="auto"/>
        <w:ind w:left="0" w:right="0" w:firstLine="800"/>
        <w:jc w:val="left"/>
      </w:pPr>
      <w:r>
        <w:rPr>
          <w:rStyle w:val="CharStyle25"/>
          <w:color w:val="303030"/>
        </w:rPr>
        <w:t xml:space="preserve">Bonjour M. Miller,</w:t>
      </w:r>
    </w:p>
    <w:p>
      <w:pPr>
        <w:pStyle w:val="Style24"/>
        <w:keepNext w:val="0"/>
        <w:keepLines w:val="0"/>
        <w:widowControl w:val="0"/>
        <w:shd w:val="clear" w:color="auto" w:fill="auto"/>
        <w:spacing w:before="0" w:after="700" w:line="240" w:lineRule="auto"/>
        <w:ind w:left="800" w:right="0" w:firstLine="0"/>
        <w:jc w:val="both"/>
      </w:pPr>
      <w:r>
        <w:rPr>
          <w:rStyle w:val="CharStyle25"/>
          <w:color w:val="303030"/>
        </w:rPr>
        <w:t xml:space="preserve">Je vous contacte au sujet de votre récente demande FOIA de documents provenant des</w:t>
        <w:softHyphen/>
        <w:t xml:space="preserve">boîtes aux lettres électroniques du Dr David Morens à destination ou en provenance du Dr Peter Daszac ou contenant les termes Daszac ou «gain de fonction». Notre unité e-Discovery a effectué les recherches et les résultats sont de plus de 30 000 pages. Les bureaux FOIA du NIAID et du NIH sont inondés de demandes en ce moment, et comme nous l’avons déjà discuté, vous recevrez des documents réactifs plus rapidement si vous pouvez cibler votre demande sur un volume raisonnable. Seriez-vous prêt à modifier votre demande pour exclure la deuxième partie et accepter les courriels entre le Dr Morens et le Dr Daszac? Nous traitons déjà </w:t>
      </w:r>
      <w:r>
        <w:rPr>
          <w:rStyle w:val="CharStyle25"/>
          <w:color w:val="303030"/>
        </w:rPr>
        <w:t xml:space="preserve">pour vous plusieurs demandes connexes de documents d’autres membres du cabinet du </w:t>
      </w:r>
      <w:r>
        <w:rPr>
          <w:rStyle w:val="CharStyle25"/>
          <w:color w:val="303030"/>
        </w:rPr>
        <w:t xml:space="preserve">Dr Morens, de sorte qu’une fois que vous aurez reçu certains de ces documents, vous pourrez éventuellement présenter une nouvelle demande plus ciblée si vous êtes toujours intéressé par un plus grand nombre de documents.</w:t>
      </w:r>
    </w:p>
    <w:p>
      <w:pPr>
        <w:pStyle w:val="Style24"/>
        <w:keepNext w:val="0"/>
        <w:keepLines w:val="0"/>
        <w:widowControl w:val="0"/>
        <w:shd w:val="clear" w:color="auto" w:fill="auto"/>
        <w:spacing w:before="0" w:after="700" w:line="240" w:lineRule="auto"/>
        <w:ind w:left="0" w:right="0" w:firstLine="800"/>
        <w:jc w:val="left"/>
      </w:pPr>
      <w:r>
        <w:rPr>
          <w:rStyle w:val="CharStyle25"/>
          <w:color w:val="303030"/>
        </w:rPr>
        <w:t xml:space="preserve">S'il vous plaît conseiller</w:t>
      </w:r>
    </w:p>
    <w:p>
      <w:pPr>
        <w:pStyle w:val="Style24"/>
        <w:keepNext w:val="0"/>
        <w:keepLines w:val="0"/>
        <w:widowControl w:val="0"/>
        <w:shd w:val="clear" w:color="auto" w:fill="auto"/>
        <w:spacing w:before="0" w:after="0" w:line="240" w:lineRule="auto"/>
        <w:ind w:left="0" w:right="0" w:firstLine="800"/>
        <w:jc w:val="left"/>
        <w:sectPr>
          <w:footnotePr>
            <w:pos w:val="pageBottom"/>
            <w:numFmt w:val="decimal"/>
            <w:numStart w:val="1454"/>
            <w:numRestart w:val="continuous"/>
            <w15:footnoteColumns w:val="1"/>
          </w:footnotePr>
          <w:pgSz w:w="12485" w:h="16357"/>
          <w:pgMar w:top="1707" w:right="1430" w:bottom="1500" w:left="1411" w:header="1279" w:footer="3" w:gutter="0"/>
          <w:cols w:space="720"/>
          <w:noEndnote/>
          <w:rtlGutter w:val="0"/>
          <w:docGrid w:linePitch="360"/>
        </w:sectPr>
      </w:pPr>
      <w:r>
        <w:rPr>
          <w:rStyle w:val="CharStyle25"/>
          <w:color w:val="303030"/>
        </w:rPr>
        <w:t>Merci</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40" w:right="0" w:firstLine="720"/>
        <w:jc w:val="both"/>
      </w:pPr>
      <w:r>
        <w:rPr>
          <w:rStyle w:val="CharStyle25"/>
        </w:rPr>
        <w:t xml:space="preserve">En résumé, le sous-comité restreint a demandé des documents à 12 gardiens qui répondaient aux questions concernant les origines de la COVID-19, le travail d'EcoHealth, les interactions avec le WIV et la recherche sur le gain de fonction. Cette demande a permis au HHS de produire 14 799 pages de documents. Cependant, une recherche FOIA d'un dépositaire pour seulement deux termes de recherche a donné lieu à 30 000 pages de documents. Ces faits confirment que le HHS a fait obstruction au sous-comité restreint.</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dot" w:pos="4430" w:val="left"/>
        </w:tabs>
        <w:spacing w:before="0"/>
        <w:ind w:left="1440" w:right="0" w:firstLine="720"/>
        <w:jc w:val="left"/>
      </w:pPr>
      <w:r>
        <w:rPr>
          <w:rStyle w:val="CharStyle25"/>
        </w:rPr>
        <w:t xml:space="preserve">La substance et la qualité de la production de documents par HHS sont inacceptables. Par exemple, une production de documents du 11 mars 2024 comprenait 413 pages de documents. À l’exception de 37 pages (environ 9 %) de cette production, il s’agit d’articles de presse imprimés qui faisaient partie de la liste de diffusion régulière des nouvelles du matin des responsables des NIH. De nombreuses autres productions contenaient des documents publics similaires. Lors d’une audition en janvier 2024, le sous-comité restreint a déclaré sans équivoque à HHS qu’il avait produit des documents qui ne sont tout simplement pas liés à nos demandes: «Vous [HHS] avez produit des documents qui ne sont pas pertinents pour nos demandes ou des centaines de pages d’articles de presse. C'est inacceptable.</w:t>
        <w:tab/>
        <w:footnoteReference w:id="332"/>
        <w:t xml:space="preserve">Or, HHS a continué à produire ces documents dénués de pertinence. Ces productions démontrent que HHS a créé une apparence de conformité en augmentant son nombre de pages de production en alimentant le sous-comité de sélection de centaines de pages de documents non réactifs, non pertinents et publics.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40" w:right="0" w:firstLine="720"/>
        <w:jc w:val="left"/>
      </w:pPr>
      <w:r>
        <w:rPr>
          <w:rStyle w:val="CharStyle25"/>
        </w:rPr>
        <w:t xml:space="preserve">Le rythme de production des documents par HHS a été épouvantable. En se concentrant sur la production de documents relatifs aux origines de la COVID-19, le rythme de production de HHS s’est ralenti au fil du temps. Au cours des mois précédant novembre 2023, HHS produisait régulièrement trois, voire quatre productions par mois.</w:t>
        <w:footnoteReference w:id="333"/>
        <w:t xml:space="preserve"> Depuis novembre 2023, HHS ne produit en moyenne que deux productions par mois et n'en a pas produit une seule depuis le 6 septembre 2024. </w:t>
        <w:footnoteReference w:id="334"/>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1440" w:right="0" w:firstLine="720"/>
        <w:jc w:val="left"/>
      </w:pPr>
      <w:r>
        <w:rPr>
          <w:rStyle w:val="CharStyle25"/>
        </w:rPr>
        <w:t xml:space="preserve">Les productions de HHS sont incomplètes ou trop expurgées. HHS a produit au sous-comité restreint de nombreux documents plus lourdement expurgés que ces mêmes documents produits via FOIA.</w:t>
        <w:footnoteReference w:id="335"/>
        <w:t xml:space="preserve"> La FOIA ne s'applique pas explicitement aux demandes du Congrès. Selon la loi elle-même, «[c]ette section n’est pas habilitée à retenir des informations auprès du Congrès».</w:t>
        <w:footnoteReference w:id="336"/>
        <w:t xml:space="preserve"> En outre, le rapport sur le projet de loi qui l’accompagne indique: «[e]n outre, il est clair que, étant donné que cette section ne fait référence qu’au droit du public de savoir, elle ne peut donc pas être interprétée en retour comme autorisant la rétention d’informations auprès du Congrès, le représentant collectif du public».</w:t>
        <w:footnoteReference w:id="337"/>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1440" w:right="0" w:firstLine="720"/>
        <w:jc w:val="left"/>
        <w:sectPr>
          <w:footnotePr>
            <w:pos w:val="pageBottom"/>
            <w:numFmt w:val="decimal"/>
            <w:numStart w:val="1454"/>
            <w:numRestart w:val="continuous"/>
            <w15:footnoteColumns w:val="1"/>
          </w:footnotePr>
          <w:pgSz w:w="12485" w:h="16357"/>
          <w:pgMar w:top="1708" w:right="122" w:bottom="1498" w:left="122" w:header="1280" w:footer="3" w:gutter="0"/>
          <w:cols w:space="720"/>
          <w:noEndnote/>
          <w:rtlGutter w:val="0"/>
          <w:docGrid w:linePitch="360"/>
        </w:sectPr>
      </w:pPr>
      <w:r>
        <w:rPr>
          <w:rStyle w:val="CharStyle25"/>
        </w:rPr>
        <w:t xml:space="preserve">Par exemple, le premier document ci-dessous a été produit par HHS au sous-comité restreint le 26 juin 2023 et le deuxième document a été produit à un demandeur FOIA en juin 2021 — HHS a expurgé plus d’informations produites au Congrès qu’elle ne l’a fait au demandeur FOIA.</w:t>
      </w:r>
    </w:p>
    <w:p>
      <w:pPr>
        <w:widowControl w:val="0"/>
        <w:jc w:val="center"/>
        <w:rPr>
          <w:sz w:val="2"/>
        </w:rPr>
        <w:sectPr>
          <w:footerReference w:type="default" r:id="rId50"/>
          <w:footnotePr>
            <w:pos w:val="pageBottom"/>
            <w:numFmt w:val="decimal"/>
            <w:numStart w:val="1454"/>
            <w:numRestart w:val="continuous"/>
            <w15:footnoteColumns w:val="1"/>
          </w:footnotePr>
          <w:pgSz w:w="12485" w:h="16357"/>
          <w:pgMar w:top="158" w:right="122" w:bottom="158" w:left="122" w:header="0" w:footer="3" w:gutter="0"/>
          <w:pgNumType w:start="84"/>
          <w:cols w:space="720"/>
          <w:noEndnote/>
          <w:rtlGutter w:val="0"/>
          <w:docGrid w:linePitch="360"/>
        </w:sectPr>
      </w:pPr>
      <w:r>
        <w:drawing>
          <wp:inline>
            <wp:extent cx="7772400" cy="10058400"/>
            <wp:docPr id="122" name="Picutre 122"/>
            <a:graphic xmlns:a="http://schemas.openxmlformats.org/drawingml/2006/main">
              <a:graphicData uri="http://schemas.openxmlformats.org/drawingml/2006/picture">
                <pic:pic xmlns:pic="http://schemas.openxmlformats.org/drawingml/2006/picture">
                  <pic:nvPicPr>
                    <pic:cNvPr id="122" name="Photo 122"/>
                    <pic:cNvPicPr/>
                  </pic:nvPicPr>
                  <pic:blipFill>
                    <a:blip r:embed="rId51"/>
                    <a:stretch/>
                  </pic:blipFill>
                  <pic:spPr>
                    <a:xfrm>
                      <a:ext cx="7772400" cy="10058400"/>
                    </a:xfrm>
                    <a:prstGeom prst="rect"/>
                  </pic:spPr>
                </pic:pic>
              </a:graphicData>
            </a:graphic>
          </wp:inline>
        </w:drawing>
      </w:r>
    </w:p>
    <w:p>
      <w:pPr>
        <w:widowControl w:val="0"/>
        <w:spacing w:before="35" w:after="35" w:line="240" w:lineRule="exact"/>
        <w:rPr>
          <w:sz w:val="19"/>
        </w:rPr>
      </w:pPr>
    </w:p>
    <w:p>
      <w:pPr>
        <w:widowControl w:val="0"/>
        <w:spacing w:line="1" w:lineRule="exact"/>
        <w:sectPr>
          <w:footerReference w:type="default" r:id="rId53"/>
          <w:footnotePr>
            <w:pos w:val="pageBottom"/>
            <w:numFmt w:val="decimal"/>
            <w:numStart w:val="1454"/>
            <w:numRestart w:val="continuous"/>
            <w15:footnoteColumns w:val="1"/>
          </w:footnotePr>
          <w:pgSz w:w="12485" w:h="16357"/>
          <w:pgMar w:top="1695" w:right="1542" w:bottom="1473" w:left="1462" w:header="0" w:footer="3" w:gutter="0"/>
          <w:pgNumType w:start="448"/>
          <w:cols w:space="720"/>
          <w:noEndnote/>
          <w:rtlGutter w:val="0"/>
          <w:docGrid w:linePitch="360"/>
        </w:sectPr>
      </w:pPr>
    </w:p>
    <w:p>
      <w:pPr>
        <w:pStyle w:val="Style36"/>
        <w:keepNext w:val="0"/>
        <w:keepLines w:val="0"/>
        <w:widowControl w:val="0"/>
        <w:shd w:val="clear" w:color="auto" w:fill="auto"/>
        <w:spacing w:before="0" w:after="0" w:line="240" w:lineRule="auto"/>
        <w:ind w:left="0" w:right="0" w:firstLine="420"/>
        <w:jc w:val="left"/>
      </w:pPr>
      <w:r>
        <mc:AlternateContent>
          <mc:Choice Requires="wps">
            <w:drawing>
              <wp:anchor distT="0" distB="0" distL="114300" distR="114300" simplePos="0" relativeHeight="125829441" behindDoc="0" locked="0" layoutInCell="1" allowOverlap="1">
                <wp:simplePos x="0" y="0"/>
                <wp:positionH relativeFrom="page">
                  <wp:posOffset>1315720</wp:posOffset>
                </wp:positionH>
                <wp:positionV relativeFrom="paragraph">
                  <wp:posOffset>12700</wp:posOffset>
                </wp:positionV>
                <wp:extent cx="783590" cy="880745"/>
                <wp:wrapSquare wrapText="right"/>
                <wp:docPr id="125" name="Forme 125"/>
                <a:graphic xmlns:a="http://schemas.openxmlformats.org/drawingml/2006/main">
                  <a:graphicData uri="http://schemas.microsoft.com/office/word/2010/wordprocessingShape">
                    <wps:wsp>
                      <wps:cNvSpPr txBox="1"/>
                      <wps:spPr>
                        <a:xfrm>
                          <a:ext cx="783590" cy="880745"/>
                        </a:xfrm>
                        <a:prstGeom prst="rect"/>
                        <a:noFill/>
                      </wps:spPr>
                      <wps:txbx>
                        <w:txbxContent>
                          <w:p>
                            <w:pPr>
                              <w:pStyle w:val="Style39"/>
                              <w:keepNext w:val="0"/>
                              <w:keepLines w:val="0"/>
                              <w:widowControl w:val="0"/>
                              <w:shd w:val="clear" w:color="auto" w:fill="auto"/>
                              <w:spacing w:before="0" w:after="40" w:line="240" w:lineRule="auto"/>
                              <w:ind w:left="0" w:right="0" w:firstLine="0"/>
                              <w:jc w:val="left"/>
                              <w:rPr>
                                <w:sz w:val="18"/>
                              </w:rPr>
                            </w:pPr>
                            <w:r>
                              <w:rPr>
                                <w:rStyle w:val="CharStyle40"/>
                                <w:b/>
                                <w:sz w:val="18"/>
                              </w:rPr>
                              <w:t xml:space="preserve">À partir de:</w:t>
                            </w:r>
                          </w:p>
                          <w:p>
                            <w:pPr>
                              <w:pStyle w:val="Style36"/>
                              <w:keepNext w:val="0"/>
                              <w:keepLines w:val="0"/>
                              <w:widowControl w:val="0"/>
                              <w:shd w:val="clear" w:color="auto" w:fill="auto"/>
                              <w:spacing w:before="0" w:after="40" w:line="240" w:lineRule="auto"/>
                              <w:ind w:left="0" w:right="0" w:firstLine="0"/>
                              <w:jc w:val="left"/>
                            </w:pPr>
                            <w:r>
                              <w:rPr>
                                <w:rStyle w:val="CharStyle37"/>
                                <w:color w:val="000000"/>
                              </w:rPr>
                              <w:t>Envoyé:</w:t>
                            </w:r>
                          </w:p>
                          <w:p>
                            <w:pPr>
                              <w:pStyle w:val="Style36"/>
                              <w:keepNext w:val="0"/>
                              <w:keepLines w:val="0"/>
                              <w:widowControl w:val="0"/>
                              <w:shd w:val="clear" w:color="auto" w:fill="auto"/>
                              <w:spacing w:before="0" w:after="40" w:line="240" w:lineRule="auto"/>
                              <w:ind w:left="0" w:right="0" w:firstLine="0"/>
                              <w:jc w:val="left"/>
                            </w:pPr>
                            <w:r>
                              <w:rPr>
                                <w:rStyle w:val="CharStyle37"/>
                                <w:color w:val="000000"/>
                              </w:rPr>
                              <w:t xml:space="preserve">À l'attention de:</w:t>
                            </w:r>
                          </w:p>
                          <w:p>
                            <w:pPr>
                              <w:pStyle w:val="Style36"/>
                              <w:keepNext w:val="0"/>
                              <w:keepLines w:val="0"/>
                              <w:widowControl w:val="0"/>
                              <w:shd w:val="clear" w:color="auto" w:fill="auto"/>
                              <w:spacing w:before="0" w:after="40" w:line="240" w:lineRule="auto"/>
                              <w:ind w:left="0" w:right="0" w:firstLine="0"/>
                              <w:jc w:val="left"/>
                            </w:pPr>
                            <w:r>
                              <w:rPr>
                                <w:rStyle w:val="CharStyle37"/>
                                <w:color w:val="303030"/>
                              </w:rPr>
                              <w:t xml:space="preserve">(NIH/NIAID) [anglais]</w:t>
                            </w:r>
                          </w:p>
                          <w:p>
                            <w:pPr>
                              <w:pStyle w:val="Style36"/>
                              <w:keepNext w:val="0"/>
                              <w:keepLines w:val="0"/>
                              <w:widowControl w:val="0"/>
                              <w:shd w:val="clear" w:color="auto" w:fill="auto"/>
                              <w:spacing w:before="0" w:after="40" w:line="240" w:lineRule="auto"/>
                              <w:ind w:left="0" w:right="0" w:firstLine="0"/>
                              <w:jc w:val="left"/>
                            </w:pPr>
                            <w:r>
                              <w:rPr>
                                <w:rStyle w:val="CharStyle37"/>
                                <w:color w:val="000000"/>
                              </w:rPr>
                              <w:t xml:space="preserve">le sujet;</w:t>
                            </w:r>
                          </w:p>
                          <w:p>
                            <w:pPr>
                              <w:pStyle w:val="Style39"/>
                              <w:keepNext w:val="0"/>
                              <w:keepLines w:val="0"/>
                              <w:widowControl w:val="0"/>
                              <w:shd w:val="clear" w:color="auto" w:fill="auto"/>
                              <w:spacing w:before="0" w:after="40" w:line="240" w:lineRule="auto"/>
                              <w:ind w:left="0" w:right="0" w:firstLine="0"/>
                              <w:jc w:val="left"/>
                              <w:rPr>
                                <w:sz w:val="18"/>
                              </w:rPr>
                            </w:pPr>
                            <w:r>
                              <w:rPr>
                                <w:rStyle w:val="CharStyle40"/>
                                <w:b/>
                                <w:sz w:val="18"/>
                              </w:rPr>
                              <w:t>Importance:</w:t>
                            </w:r>
                          </w:p>
                        </w:txbxContent>
                      </wps:txbx>
                      <wps:bodyPr lIns="0" tIns="0" rIns="0" bIns="0">
                        <a:noAutoFit/>
                      </wps:bodyPr>
                    </wps:wsp>
                  </a:graphicData>
                </a:graphic>
              </wp:anchor>
            </w:drawing>
          </mc:Choice>
        </mc:AlternateContent>
      </w:r>
      <w:r>
        <w:rPr>
          <w:rStyle w:val="CharStyle37"/>
          <w:color w:val="303030"/>
        </w:rPr>
        <w:t xml:space="preserve">Chen, Ping (NIH/NIAID) |E]</w:t>
      </w:r>
    </w:p>
    <w:p>
      <w:pPr>
        <w:pStyle w:val="Style36"/>
        <w:keepNext w:val="0"/>
        <w:keepLines w:val="0"/>
        <w:widowControl w:val="0"/>
        <w:shd w:val="clear" w:color="auto" w:fill="auto"/>
        <w:spacing w:before="0" w:after="0" w:line="240" w:lineRule="auto"/>
        <w:ind w:left="0" w:right="0" w:firstLine="420"/>
        <w:jc w:val="left"/>
      </w:pPr>
      <w:r>
        <w:rPr>
          <w:rStyle w:val="CharStyle37"/>
          <w:color w:val="303030"/>
        </w:rPr>
        <w:t xml:space="preserve">Lundi, 11 août 2014 09:30:40 -0400</w:t>
      </w:r>
    </w:p>
    <w:p>
      <w:pPr>
        <w:pStyle w:val="Style36"/>
        <w:keepNext w:val="0"/>
        <w:keepLines w:val="0"/>
        <w:widowControl w:val="0"/>
        <w:shd w:val="clear" w:color="auto" w:fill="auto"/>
        <w:spacing w:before="0" w:after="280" w:line="240" w:lineRule="auto"/>
        <w:ind w:left="0" w:right="0" w:firstLine="420"/>
        <w:jc w:val="left"/>
      </w:pPr>
      <w:r>
        <w:rPr>
          <w:rStyle w:val="CharStyle37"/>
          <w:color w:val="303030"/>
        </w:rPr>
        <w:t xml:space="preserve">Bernabe, Gayle (NIH/NIAID) [E];Handley, Gray (NIH/NIAID) [E];Meegan, James</w:t>
      </w:r>
    </w:p>
    <w:p>
      <w:pPr>
        <w:pStyle w:val="Style36"/>
        <w:keepNext w:val="0"/>
        <w:keepLines w:val="0"/>
        <w:widowControl w:val="0"/>
        <w:shd w:val="clear" w:color="auto" w:fill="auto"/>
        <w:spacing w:before="0" w:after="460" w:line="300" w:lineRule="auto"/>
        <w:ind w:left="420" w:right="0" w:firstLine="20"/>
        <w:jc w:val="left"/>
      </w:pPr>
      <w:r>
        <w:rPr>
          <w:rStyle w:val="CharStyle37"/>
          <w:color w:val="303030"/>
        </w:rPr>
        <w:t xml:space="preserve">Fw; Contact avec Wuhan Institute of Virology High</w:t>
      </w:r>
    </w:p>
    <w:p>
      <w:pPr>
        <w:pStyle w:val="Style18"/>
        <w:keepNext w:val="0"/>
        <w:keepLines w:val="0"/>
        <w:widowControl w:val="0"/>
        <w:shd w:val="clear" w:color="auto" w:fill="auto"/>
        <w:spacing w:before="0" w:after="0" w:line="240" w:lineRule="auto"/>
        <w:ind w:left="0" w:right="0" w:firstLine="420"/>
        <w:jc w:val="left"/>
        <w:rPr>
          <w:sz w:val="18"/>
        </w:rPr>
      </w:pPr>
      <w:r>
        <w:rPr>
          <w:rStyle w:val="CharStyle19"/>
          <w:color w:val="303030"/>
          <w:sz w:val="18"/>
        </w:rPr>
        <w:t xml:space="preserve">Pour info.</w:t>
      </w:r>
    </w:p>
    <w:p>
      <w:pPr>
        <w:pStyle w:val="Style110"/>
        <w:keepNext w:val="0"/>
        <w:keepLines w:val="0"/>
        <w:widowControl w:val="0"/>
        <w:shd w:val="clear" w:color="auto" w:fill="auto"/>
        <w:spacing w:before="0" w:after="200" w:line="240" w:lineRule="auto"/>
        <w:ind w:left="0" w:right="0" w:firstLine="420"/>
        <w:jc w:val="left"/>
        <w:rPr>
          <w:sz w:val="16"/>
        </w:rPr>
      </w:pPr>
      <w:r>
        <w:rPr>
          <w:rStyle w:val="CharStyle111"/>
          <w:color w:val="303030"/>
          <w:sz w:val="16"/>
        </w:rPr>
        <w:t xml:space="preserve">Le message de LeDuc de l'UTMB de lui, nous avons obtenu les contacts pour WIV.</w:t>
      </w:r>
    </w:p>
    <w:p>
      <w:pPr>
        <w:pStyle w:val="Style110"/>
        <w:keepNext w:val="0"/>
        <w:keepLines w:val="0"/>
        <w:widowControl w:val="0"/>
        <w:shd w:val="clear" w:color="auto" w:fill="auto"/>
        <w:spacing w:before="0" w:after="200" w:line="240" w:lineRule="auto"/>
        <w:ind w:left="0" w:right="0" w:firstLine="420"/>
        <w:jc w:val="left"/>
        <w:rPr>
          <w:sz w:val="16"/>
        </w:rPr>
      </w:pPr>
      <w:r>
        <w:rPr>
          <w:rStyle w:val="CharStyle111"/>
          <w:color w:val="303030"/>
          <w:sz w:val="16"/>
        </w:rPr>
        <w:t>Ping</w:t>
      </w:r>
    </w:p>
    <w:p>
      <w:pPr>
        <w:pStyle w:val="Style110"/>
        <w:keepNext w:val="0"/>
        <w:keepLines w:val="0"/>
        <w:widowControl w:val="0"/>
        <w:shd w:val="clear" w:color="auto" w:fill="auto"/>
        <w:tabs>
          <w:tab w:leader="dot" w:pos="694" w:val="left"/>
          <w:tab w:leader="hyphen" w:pos="2292" w:val="left"/>
        </w:tabs>
        <w:spacing w:before="0" w:after="0" w:line="240" w:lineRule="auto"/>
        <w:ind w:left="0" w:right="0" w:firstLine="420"/>
        <w:jc w:val="left"/>
        <w:rPr>
          <w:sz w:val="16"/>
        </w:rPr>
      </w:pPr>
      <w:r>
        <w:rPr>
          <w:rStyle w:val="CharStyle111"/>
          <w:color w:val="303030"/>
          <w:sz w:val="16"/>
        </w:rPr>
        <w:tab/>
        <w:t xml:space="preserve">Message original</w:t>
        <w:tab/>
      </w:r>
    </w:p>
    <w:p>
      <w:pPr>
        <w:pStyle w:val="Style110"/>
        <w:keepNext w:val="0"/>
        <w:keepLines w:val="0"/>
        <w:widowControl w:val="0"/>
        <w:shd w:val="clear" w:color="auto" w:fill="auto"/>
        <w:spacing w:before="0" w:after="0" w:line="240" w:lineRule="auto"/>
        <w:ind w:left="0" w:right="0" w:firstLine="420"/>
        <w:jc w:val="left"/>
        <w:rPr>
          <w:sz w:val="16"/>
        </w:rPr>
      </w:pPr>
      <w:r>
        <w:rPr>
          <w:rStyle w:val="CharStyle111"/>
          <w:color w:val="303030"/>
          <w:sz w:val="16"/>
        </w:rPr>
        <w:t xml:space="preserve">À partir de: LeDuc, James W. </w:t>
      </w:r>
      <w:r>
        <w:rPr>
          <w:rStyle w:val="CharStyle111"/>
          <w:sz w:val="16"/>
          <w:u w:val="single"/>
        </w:rPr>
        <w:t>[</w:t>
      </w:r>
      <w:r>
        <w:fldChar w:fldCharType="begin"/>
      </w:r>
      <w:r>
        <w:rPr/>
        <w:instrText> HYPERLINK "mailto:mailtoawleduc@irrMB.EDU" </w:instrText>
      </w:r>
      <w:r>
        <w:fldChar w:fldCharType="separate"/>
      </w:r>
      <w:r>
        <w:rPr>
          <w:rStyle w:val="CharStyle111"/>
          <w:sz w:val="16"/>
          <w:u w:val="single"/>
        </w:rPr>
        <w:t>mailtoawleduc@irrMB.EDU</w:t>
      </w:r>
      <w:r>
        <w:fldChar w:fldCharType="end"/>
      </w:r>
      <w:r>
        <w:rPr>
          <w:rStyle w:val="CharStyle111"/>
          <w:sz w:val="16"/>
        </w:rPr>
        <w:t>]</w:t>
      </w:r>
    </w:p>
    <w:p>
      <w:pPr>
        <w:pStyle w:val="Style110"/>
        <w:keepNext w:val="0"/>
        <w:keepLines w:val="0"/>
        <w:widowControl w:val="0"/>
        <w:shd w:val="clear" w:color="auto" w:fill="auto"/>
        <w:spacing w:before="0" w:after="0" w:line="240" w:lineRule="auto"/>
        <w:ind w:left="0" w:right="0" w:firstLine="420"/>
        <w:jc w:val="left"/>
        <w:rPr>
          <w:sz w:val="16"/>
        </w:rPr>
      </w:pPr>
      <w:r>
        <w:rPr>
          <w:rStyle w:val="CharStyle111"/>
          <w:color w:val="303030"/>
          <w:sz w:val="16"/>
        </w:rPr>
        <w:t xml:space="preserve">Envoyé: Vendredi, août 08, 2014 09:24 Heure normale de l'Est</w:t>
      </w:r>
    </w:p>
    <w:p>
      <w:pPr>
        <w:pStyle w:val="Style110"/>
        <w:keepNext w:val="0"/>
        <w:keepLines w:val="0"/>
        <w:widowControl w:val="0"/>
        <w:shd w:val="clear" w:color="auto" w:fill="auto"/>
        <w:spacing w:before="0" w:after="0" w:line="240" w:lineRule="auto"/>
        <w:ind w:left="0" w:right="0" w:firstLine="420"/>
        <w:jc w:val="left"/>
        <w:rPr>
          <w:sz w:val="16"/>
        </w:rPr>
      </w:pPr>
      <w:r>
        <w:rPr>
          <w:rStyle w:val="CharStyle111"/>
          <w:color w:val="303030"/>
          <w:sz w:val="16"/>
        </w:rPr>
        <w:t xml:space="preserve">À l'attention de: Chen, Ping (NIH/NIAID) [anglais]</w:t>
      </w:r>
    </w:p>
    <w:p>
      <w:pPr>
        <w:pStyle w:val="Style110"/>
        <w:keepNext w:val="0"/>
        <w:keepLines w:val="0"/>
        <w:widowControl w:val="0"/>
        <w:shd w:val="clear" w:color="auto" w:fill="auto"/>
        <w:spacing w:before="0" w:after="0" w:line="240" w:lineRule="auto"/>
        <w:ind w:left="0" w:right="0" w:firstLine="420"/>
        <w:jc w:val="left"/>
        <w:rPr>
          <w:sz w:val="16"/>
        </w:rPr>
      </w:pPr>
      <w:r>
        <w:rPr>
          <w:rStyle w:val="CharStyle111"/>
          <w:color w:val="303030"/>
          <w:sz w:val="16"/>
        </w:rPr>
        <w:t xml:space="preserve">Cc : Xia, Han &lt;</w:t>
      </w:r>
      <w:r>
        <w:fldChar w:fldCharType="begin"/>
      </w:r>
      <w:r>
        <w:rPr/>
        <w:instrText> HYPERLINK "mailto:haxia@UTMB.EDU" </w:instrText>
      </w:r>
      <w:r>
        <w:fldChar w:fldCharType="separate"/>
      </w:r>
      <w:r>
        <w:rPr>
          <w:rStyle w:val="CharStyle111"/>
          <w:color w:val="303030"/>
          <w:sz w:val="16"/>
        </w:rPr>
        <w:t>haxia@UTMB.EDU</w:t>
      </w:r>
      <w:r>
        <w:fldChar w:fldCharType="end"/>
      </w:r>
      <w:r>
        <w:rPr>
          <w:rStyle w:val="CharStyle111"/>
          <w:color w:val="303030"/>
          <w:sz w:val="16"/>
        </w:rPr>
        <w:t xml:space="preserve">&gt;; Bente, Dennis A. &lt;dabentc(^U </w:t>
      </w:r>
      <w:r>
        <w:rPr>
          <w:rStyle w:val="CharStyle111"/>
          <w:color w:val="000000"/>
          <w:sz w:val="16"/>
        </w:rPr>
        <w:t xml:space="preserve">I </w:t>
      </w:r>
      <w:r>
        <w:rPr>
          <w:rStyle w:val="CharStyle111"/>
          <w:color w:val="303030"/>
          <w:sz w:val="16"/>
        </w:rPr>
        <w:t>MB.tDU&gt;</w:t>
      </w:r>
    </w:p>
    <w:p>
      <w:pPr>
        <w:pStyle w:val="Style110"/>
        <w:keepNext w:val="0"/>
        <w:keepLines w:val="0"/>
        <w:widowControl w:val="0"/>
        <w:shd w:val="clear" w:color="auto" w:fill="auto"/>
        <w:spacing w:before="0" w:after="200" w:line="240" w:lineRule="auto"/>
        <w:ind w:left="0" w:right="0" w:firstLine="420"/>
        <w:jc w:val="left"/>
        <w:rPr>
          <w:sz w:val="16"/>
        </w:rPr>
      </w:pPr>
      <w:r>
        <w:rPr>
          <w:rStyle w:val="CharStyle111"/>
          <w:color w:val="303030"/>
          <w:sz w:val="16"/>
        </w:rPr>
        <w:t xml:space="preserve">Objet: RE : Contact avec l'Institut de virologie de Wuhan</w:t>
      </w:r>
    </w:p>
    <w:p>
      <w:pPr>
        <w:pStyle w:val="Style57"/>
        <w:keepNext w:val="0"/>
        <w:keepLines w:val="0"/>
        <w:widowControl w:val="0"/>
        <w:shd w:val="clear" w:color="auto" w:fill="auto"/>
        <w:spacing w:before="0" w:after="200" w:line="240" w:lineRule="auto"/>
        <w:ind w:left="0" w:right="0" w:firstLine="420"/>
        <w:jc w:val="left"/>
      </w:pPr>
      <w:r>
        <w:rPr>
          <w:rStyle w:val="CharStyle58"/>
          <w:color w:val="303030"/>
        </w:rPr>
        <w:t>Ping,</w:t>
      </w:r>
    </w:p>
    <w:p>
      <w:pPr>
        <w:pStyle w:val="Style110"/>
        <w:keepNext w:val="0"/>
        <w:keepLines w:val="0"/>
        <w:widowControl w:val="0"/>
        <w:shd w:val="clear" w:color="auto" w:fill="auto"/>
        <w:spacing w:before="0" w:after="200"/>
        <w:ind w:left="420" w:right="0"/>
        <w:jc w:val="left"/>
        <w:rPr>
          <w:sz w:val="16"/>
        </w:rPr>
      </w:pPr>
      <w:r>
        <w:rPr>
          <w:rStyle w:val="CharStyle111"/>
          <w:color w:val="303030"/>
          <w:sz w:val="16"/>
        </w:rPr>
        <w:t xml:space="preserve">Comme indiqué, nous avons un poste dû par l'Académie chinoise des sciences, le Dr Han Xia travaillant dans notre laboratoire et suivant une formation à la fois pour la recherche dans nos installations BSL4 ainsi que pour l'orientation à la maintenance et à l'exploitation d'une installation BSL4. Elle fait partie d'une initiative plus vaste que j'ai développée pour former des collaborations scientifiques et techniques à long terme avec le nouveau laboratoire BSL4 qui est sur le point d'être achevé à Wuhan, sous la direction du Dr Yuan Zhiming. </w:t>
      </w:r>
      <w:r>
        <w:rPr>
          <w:rStyle w:val="CharStyle111"/>
          <w:color w:val="000000"/>
          <w:sz w:val="16"/>
        </w:rPr>
        <w:t xml:space="preserve">J'ai </w:t>
      </w:r>
      <w:r>
        <w:rPr>
          <w:rStyle w:val="CharStyle111"/>
          <w:color w:val="303030"/>
          <w:sz w:val="16"/>
        </w:rPr>
        <w:t xml:space="preserve">rencontré le Dr Zhiming à plusieurs reprises à Wuhan et il a exprimé son intérêt à visiter le GNL prochainement, ce dont </w:t>
      </w:r>
      <w:r>
        <w:rPr>
          <w:rStyle w:val="CharStyle111"/>
          <w:color w:val="000000"/>
          <w:sz w:val="16"/>
        </w:rPr>
        <w:t xml:space="preserve">je me </w:t>
      </w:r>
      <w:r>
        <w:rPr>
          <w:rStyle w:val="CharStyle111"/>
          <w:color w:val="303030"/>
          <w:sz w:val="16"/>
        </w:rPr>
        <w:t xml:space="preserve">félicite. Han Xia et son mentor, le Dr Dennis Bente, se rendront probablement à Wuhan au cours des 6 prochains mois pour explorer les activités de recherche collaborative qu'ils pourraient poursuivre conjointement lorsque Han reviendra à Wuhan. À son retour, elle sera probablement également impliquée dans la supervision des opérations de laboratoire sur la base de son expérience acquise ici. Tout cela pour dire que nous essayons déjà de construire le type de partenariat qui, </w:t>
      </w:r>
      <w:r>
        <w:rPr>
          <w:rStyle w:val="CharStyle111"/>
          <w:color w:val="000000"/>
          <w:sz w:val="16"/>
        </w:rPr>
        <w:t xml:space="preserve"> </w:t>
      </w:r>
      <w:r>
        <w:rPr>
          <w:rStyle w:val="CharStyle111"/>
          <w:color w:val="303030"/>
          <w:sz w:val="16"/>
        </w:rPr>
        <w:t xml:space="preserve">je crois, est envisagé dans le cadre de la LSGH. J'espère que dans vos relations avec les scientifiques de Wuhan, et en particulier le Dr Zhiming, vous garderez nos efforts à l'esprit et chercherez des opportunités où notre partenariat pourrait être renforcé dans le cadre de la GHSA. Envisager clairement de soutenir les études conjointes que nous tentons de développer serait une victoire potentielle pour nous tous. Nous avons considérablement investi dans notre partenariat avec la CAS à Wuhan et sommes soucieux d'assurer son succès à long terme.</w:t>
      </w:r>
    </w:p>
    <w:p>
      <w:pPr>
        <w:pStyle w:val="Style110"/>
        <w:keepNext w:val="0"/>
        <w:keepLines w:val="0"/>
        <w:widowControl w:val="0"/>
        <w:shd w:val="clear" w:color="auto" w:fill="auto"/>
        <w:spacing w:before="0" w:after="380"/>
        <w:ind w:left="420" w:right="0"/>
        <w:jc w:val="left"/>
        <w:rPr>
          <w:sz w:val="16"/>
        </w:rPr>
      </w:pPr>
      <w:r>
        <w:rPr>
          <w:rStyle w:val="CharStyle111"/>
          <w:color w:val="303030"/>
          <w:sz w:val="16"/>
        </w:rPr>
        <w:t xml:space="preserve">Merci, Jim.</w:t>
      </w:r>
    </w:p>
    <w:p>
      <w:pPr>
        <w:pStyle w:val="Style110"/>
        <w:keepNext w:val="0"/>
        <w:keepLines w:val="0"/>
        <w:widowControl w:val="0"/>
        <w:shd w:val="clear" w:color="auto" w:fill="auto"/>
        <w:spacing w:before="0" w:after="0"/>
        <w:ind w:left="420" w:right="0"/>
        <w:jc w:val="left"/>
        <w:rPr>
          <w:sz w:val="16"/>
        </w:rPr>
      </w:pPr>
      <w:r>
        <w:rPr>
          <w:rStyle w:val="CharStyle111"/>
          <w:color w:val="303030"/>
          <w:sz w:val="16"/>
        </w:rPr>
        <w:t xml:space="preserve">James W. Le Duc, Ph.D.</w:t>
      </w:r>
    </w:p>
    <w:p>
      <w:pPr>
        <w:pStyle w:val="Style110"/>
        <w:keepNext w:val="0"/>
        <w:keepLines w:val="0"/>
        <w:widowControl w:val="0"/>
        <w:shd w:val="clear" w:color="auto" w:fill="auto"/>
        <w:spacing w:before="0" w:after="0"/>
        <w:ind w:left="420" w:right="0"/>
        <w:jc w:val="left"/>
        <w:rPr>
          <w:sz w:val="16"/>
        </w:rPr>
      </w:pPr>
      <w:r>
        <w:rPr>
          <w:rStyle w:val="CharStyle111"/>
          <w:color w:val="303030"/>
          <w:sz w:val="16"/>
        </w:rPr>
        <w:t>Directeur</w:t>
      </w:r>
    </w:p>
    <w:p>
      <w:pPr>
        <w:pStyle w:val="Style110"/>
        <w:keepNext w:val="0"/>
        <w:keepLines w:val="0"/>
        <w:widowControl w:val="0"/>
        <w:shd w:val="clear" w:color="auto" w:fill="auto"/>
        <w:spacing w:before="0" w:after="0"/>
        <w:ind w:left="420" w:right="0"/>
        <w:jc w:val="left"/>
        <w:rPr>
          <w:sz w:val="16"/>
        </w:rPr>
      </w:pPr>
      <w:r>
        <w:rPr>
          <w:rStyle w:val="CharStyle111"/>
          <w:color w:val="303030"/>
          <w:sz w:val="16"/>
        </w:rPr>
        <w:t xml:space="preserve">Laboratoire national de Galveston</w:t>
      </w:r>
    </w:p>
    <w:p>
      <w:pPr>
        <w:pStyle w:val="Style110"/>
        <w:keepNext w:val="0"/>
        <w:keepLines w:val="0"/>
        <w:widowControl w:val="0"/>
        <w:shd w:val="clear" w:color="auto" w:fill="auto"/>
        <w:spacing w:before="0" w:after="860"/>
        <w:ind w:left="420" w:right="0"/>
        <w:jc w:val="left"/>
        <w:rPr>
          <w:sz w:val="16"/>
        </w:rPr>
      </w:pPr>
      <w:r>
        <w:rPr>
          <w:rStyle w:val="CharStyle111"/>
          <w:color w:val="303030"/>
          <w:sz w:val="16"/>
        </w:rPr>
        <w:t xml:space="preserve">University of Texas Medical Branch Galveston, TX 77555-0610 (t) 409-266-6500 (f) 409-266-6810 </w:t>
      </w:r>
      <w:r>
        <w:fldChar w:fldCharType="begin"/>
      </w:r>
      <w:r>
        <w:rPr/>
        <w:instrText> HYPERLINK "mailto:jwleduc@utmb.edu" </w:instrText>
      </w:r>
      <w:r>
        <w:fldChar w:fldCharType="separate"/>
      </w:r>
      <w:r>
        <w:rPr>
          <w:rStyle w:val="CharStyle111"/>
          <w:color w:val="303030"/>
          <w:sz w:val="16"/>
        </w:rPr>
        <w:t>jwleduc@utmb.edu</w:t>
      </w:r>
      <w:r>
        <w:fldChar w:fldCharType="end"/>
      </w:r>
    </w:p>
    <w:p>
      <w:pPr>
        <w:pStyle w:val="Style24"/>
        <w:keepNext w:val="0"/>
        <w:keepLines w:val="0"/>
        <w:widowControl w:val="0"/>
        <w:shd w:val="clear" w:color="auto" w:fill="auto"/>
        <w:spacing w:before="0" w:after="100"/>
        <w:ind w:left="0" w:right="0" w:firstLine="740"/>
        <w:jc w:val="left"/>
      </w:pPr>
      <w:r>
        <w:rPr>
          <w:rStyle w:val="CharStyle25"/>
        </w:rPr>
        <w:t xml:space="preserve">Dans cet exemple, HHS a expurgé les noms d’employés du gouvernement fédéral, d’employés non</w:t>
        <w:softHyphen/>
        <w:t xml:space="preserve">gouvernementaux et de ressortissants étrangers – y compris des membres du PCC – sous le couvert d’une « escalade des menaces et du harcèlement, en particulier à l’égard des professionnels de la santé publique et des scientifiques ».</w:t>
        <w:footnoteReference w:id="338"/>
      </w:r>
    </w:p>
    <w:p>
      <w:pPr>
        <w:pStyle w:val="Style24"/>
        <w:keepNext w:val="0"/>
        <w:keepLines w:val="0"/>
        <w:widowControl w:val="0"/>
        <w:shd w:val="clear" w:color="auto" w:fill="auto"/>
        <w:spacing w:before="0" w:line="264" w:lineRule="auto"/>
        <w:ind w:left="0" w:right="0" w:firstLine="0"/>
        <w:jc w:val="left"/>
      </w:pPr>
      <w:r>
        <w:rPr>
          <w:rStyle w:val="CharStyle25"/>
        </w:rPr>
        <w:t xml:space="preserve">Le département suit-il une augmentation des menaces depuis sa dernière production le 8 juin? De plus, comment le Ministère sait-il que les ressortissants étrangers vivant en Chine dont les noms sont expurgés ont reçu des menaces? Le ministère est-il en contact personnel avec ces personnes?»</w:t>
        <w:footnoteReference w:id="339"/>
        <w:t xml:space="preserve"> HHS n’a pas répondu à ces questions.</w:t>
      </w:r>
    </w:p>
    <w:p>
      <w:pPr>
        <w:pStyle w:val="Style24"/>
        <w:keepNext w:val="0"/>
        <w:keepLines w:val="0"/>
        <w:widowControl w:val="0"/>
        <w:shd w:val="clear" w:color="auto" w:fill="auto"/>
        <w:spacing w:before="0" w:after="300"/>
        <w:ind w:left="0" w:right="0" w:firstLine="740"/>
        <w:jc w:val="left"/>
      </w:pPr>
      <w:r>
        <w:rPr>
          <w:rStyle w:val="CharStyle25"/>
        </w:rPr>
        <w:t xml:space="preserve">Enfin, le HHS n'a souvent fait aucun effort pour dissimuler leur non-conformité intentionnelle. Lorsque le sous-comité restreint s’est interrogé sur la rareté des documents produits et a demandé des recherches de HHS, HHS a refusé d’expliquer sa méthodologie concernant la manière dont elle a mené ses recherches. </w:t>
        <w:footnoteReference w:id="340"/>
        <w:t xml:space="preserve">Lorsque le sous-comité restreint a demandé pourquoi HHS ne se conformait pas à ses demandes, il a cherché à interviewer Mme Egorin le 28 septembre 2023.</w:t>
        <w:footnoteReference w:id="341"/>
        <w:t xml:space="preserve"> Bien qu'il n'ait jamais spécifiquement refusé de paraître interviewé, le personnel du HHS a reporté l'entretien à deux reprises pour un total de deux semaines en raison d'une maladie. Au cours de nombreux courriels et appels téléphoniques, le personnel du HHS n'a jamais déclaré que Mme Egorin refuserait de se conformer à l'entrevue. À la veille de l'entrevue prévue, HHS a envoyé une lettre dans laquelle il a déclaré avec lâcheté que l'entrevue était injustifiée.</w:t>
      </w:r>
    </w:p>
    <w:p>
      <w:pPr>
        <w:pStyle w:val="Style24"/>
        <w:keepNext w:val="0"/>
        <w:keepLines w:val="0"/>
        <w:widowControl w:val="0"/>
        <w:shd w:val="clear" w:color="auto" w:fill="auto"/>
        <w:spacing w:before="0" w:after="300" w:line="264" w:lineRule="auto"/>
        <w:ind w:left="1460" w:right="0" w:hanging="1460"/>
        <w:jc w:val="left"/>
      </w:pPr>
      <w:r>
        <w:rPr>
          <w:rStyle w:val="CharStyle25"/>
        </w:rPr>
        <w:t xml:space="preserve">CONSTATATION : Le ministère américain de la santé et des services sociaux de l’administration Biden a indûment et peut-être illégalement limité l’accès aux témoins clés.</w:t>
      </w:r>
    </w:p>
    <w:p>
      <w:pPr>
        <w:pStyle w:val="Style24"/>
        <w:keepNext w:val="0"/>
        <w:keepLines w:val="0"/>
        <w:widowControl w:val="0"/>
        <w:shd w:val="clear" w:color="auto" w:fill="auto"/>
        <w:spacing w:before="0" w:line="264" w:lineRule="auto"/>
        <w:ind w:left="0" w:right="0" w:firstLine="740"/>
        <w:jc w:val="left"/>
      </w:pPr>
      <w:r>
        <w:rPr>
          <w:rStyle w:val="CharStyle25"/>
        </w:rPr>
        <w:t xml:space="preserve">Tout d'abord, HHS a retardé déraisonnablement la planification des entretiens. Le 13 février 2023, le sous-comité restreint a initialement demandé des entretiens avec des employés du HHS concernant les origines de la COVID-19 et le gain de la recherche fonctionnelle.</w:t>
        <w:footnoteReference w:id="342"/>
        <w:t xml:space="preserve"> Il a fallu deux lettres de suivi et de nombreux courriels et appels téléphoniques avant que le sous-comité restreint ne mène sa première entrevue avec un employé du HHS concernant les origines de la COVID-19 le 2 novembre 2023.</w:t>
      </w:r>
    </w:p>
    <w:p>
      <w:pPr>
        <w:pStyle w:val="Style24"/>
        <w:keepNext w:val="0"/>
        <w:keepLines w:val="0"/>
        <w:widowControl w:val="0"/>
        <w:shd w:val="clear" w:color="auto" w:fill="auto"/>
        <w:spacing w:before="0"/>
        <w:ind w:left="0" w:right="0" w:firstLine="740"/>
        <w:jc w:val="left"/>
      </w:pPr>
      <w:r>
        <w:rPr>
          <w:rStyle w:val="CharStyle25"/>
        </w:rPr>
        <w:t xml:space="preserve">Lorsque HHS s'est finalement conformé et a facilité ses employés pour les entrevues avec le sous-comité restreint, le ministère a cherché à limiter déraisonnablement leur témoignage. Il existe deux exemples illustrant cette obstruction.</w: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Premièrement, pour l’entretien du sous-comité restreint avec le Dr Lauer – et de nombreux fonctionnaires ultérieurs du HHS – le HHS a demandé au Dr Lauer de ne répondre qu’aux questions concernant son « examen, sa gestion et sa supervision de la subvention des NIH no R01AI110964 jusqu’au 26 avril 2023 ». Cette instruction a interdit au Dr Lauer de parler de la renégociation et du rétablissement de la subvention d’EcoHealth – une ligne d’enquête principale du sous-comité restreint. </w:t>
        <w:footnoteReference w:id="343"/>
      </w:r>
    </w:p>
    <w:p>
      <w:pPr>
        <w:pStyle w:val="Style18"/>
        <w:keepNext w:val="0"/>
        <w:keepLines w:val="0"/>
        <w:widowControl w:val="0"/>
        <w:shd w:val="clear" w:color="auto" w:fill="auto"/>
        <w:spacing w:before="0" w:after="0" w:line="240" w:lineRule="auto"/>
        <w:ind w:left="0" w:right="0" w:firstLine="560"/>
        <w:jc w:val="left"/>
        <w:rPr>
          <w:sz w:val="9"/>
        </w:rPr>
      </w:pPr>
      <w:r>
        <w:rPr>
          <w:rStyle w:val="CharStyle19"/>
          <w:rFonts w:ascii="Arial" w:hAnsi="Arial" w:cs="Arial" w:eastAsia="Arial"/>
          <w:color w:val="464648"/>
          <w:sz w:val="9"/>
        </w:rPr>
        <w:t>♦</w:t>
      </w:r>
    </w:p>
    <w:p>
      <w:pPr>
        <w:pStyle w:val="Style24"/>
        <w:keepNext w:val="0"/>
        <w:keepLines w:val="0"/>
        <w:widowControl w:val="0"/>
        <w:shd w:val="clear" w:color="auto" w:fill="auto"/>
        <w:tabs>
          <w:tab w:pos="1949" w:val="left"/>
          <w:tab w:pos="6077" w:val="left"/>
        </w:tabs>
        <w:spacing w:before="0" w:after="220" w:line="218" w:lineRule="auto"/>
        <w:ind w:left="0" w:right="0" w:firstLine="480"/>
        <w:jc w:val="left"/>
        <w:rPr>
          <w:sz w:val="20"/>
        </w:rPr>
      </w:pPr>
      <w:r>
        <w:rPr>
          <w:rStyle w:val="CharStyle25"/>
          <w:color w:val="464648"/>
          <w:sz w:val="20"/>
        </w:rPr>
        <w:t>5</w:t>
        <w:tab/>
        <w:t xml:space="preserve">MINISTÈRE DE LA SANTÉ &amp; AMP; SERVICES HUMAINS </w:t>
      </w:r>
      <w:r>
        <w:rPr>
          <w:rStyle w:val="CharStyle25"/>
          <w:color w:val="303030"/>
          <w:sz w:val="20"/>
        </w:rPr>
        <w:t xml:space="preserve">BUREAU </w:t>
      </w:r>
      <w:r>
        <w:rPr>
          <w:rStyle w:val="CharStyle25"/>
          <w:color w:val="464648"/>
          <w:sz w:val="20"/>
        </w:rPr>
        <w:t xml:space="preserve">DU SECRÉTAIRE</w:t>
      </w:r>
    </w:p>
    <w:p>
      <w:pPr>
        <w:pStyle w:val="Style24"/>
        <w:keepNext w:val="0"/>
        <w:keepLines w:val="0"/>
        <w:widowControl w:val="0"/>
        <w:shd w:val="clear" w:color="auto" w:fill="auto"/>
        <w:spacing w:before="0" w:after="0" w:line="240" w:lineRule="auto"/>
        <w:ind w:left="6080" w:right="0" w:firstLine="0"/>
        <w:jc w:val="left"/>
        <w:rPr>
          <w:sz w:val="20"/>
        </w:rPr>
      </w:pPr>
      <w:r>
        <w:rPr>
          <w:rStyle w:val="CharStyle25"/>
          <w:color w:val="464648"/>
          <w:sz w:val="20"/>
        </w:rPr>
        <w:t xml:space="preserve">Secrétaire adjoint à la législation</w:t>
      </w:r>
    </w:p>
    <w:p>
      <w:pPr>
        <w:pStyle w:val="Style24"/>
        <w:keepNext w:val="0"/>
        <w:keepLines w:val="0"/>
        <w:widowControl w:val="0"/>
        <w:shd w:val="clear" w:color="auto" w:fill="auto"/>
        <w:tabs>
          <w:tab w:pos="6026" w:val="left"/>
        </w:tabs>
        <w:spacing w:before="0" w:after="420" w:line="180" w:lineRule="auto"/>
        <w:ind w:left="0" w:right="0" w:firstLine="900"/>
        <w:jc w:val="left"/>
        <w:rPr>
          <w:sz w:val="20"/>
        </w:rPr>
      </w:pPr>
      <w:r>
        <w:rPr>
          <w:rStyle w:val="CharStyle25"/>
          <w:color w:val="464648"/>
          <w:sz w:val="20"/>
        </w:rPr>
        <w:t>«</w:t>
      </w:r>
      <w:r>
        <w:rPr>
          <w:rStyle w:val="CharStyle25"/>
          <w:color w:val="464648"/>
          <w:sz w:val="20"/>
          <w:vertAlign w:val="superscript"/>
        </w:rPr>
        <w:t>,</w:t>
      </w:r>
      <w:r>
        <w:rPr>
          <w:rStyle w:val="CharStyle25"/>
          <w:color w:val="464648"/>
          <w:sz w:val="20"/>
        </w:rPr>
        <w:t>*</w:t>
      </w:r>
      <w:r>
        <w:rPr>
          <w:rStyle w:val="CharStyle25"/>
          <w:color w:val="464648"/>
          <w:sz w:val="20"/>
          <w:vertAlign w:val="superscript"/>
        </w:rPr>
        <w:t>a</w:t>
      </w:r>
      <w:r>
        <w:rPr>
          <w:rStyle w:val="CharStyle25"/>
          <w:color w:val="464648"/>
          <w:sz w:val="20"/>
        </w:rPr>
        <w:t xml:space="preserve"> </w:t>
      </w:r>
      <w:r>
        <w:rPr>
          <w:rStyle w:val="CharStyle25"/>
          <w:color w:val="110C77"/>
          <w:sz w:val="20"/>
        </w:rPr>
        <w:t xml:space="preserve">V </w:t>
      </w:r>
      <w:r>
        <w:rPr>
          <w:rStyle w:val="CharStyle25"/>
          <w:color w:val="464648"/>
          <w:sz w:val="20"/>
        </w:rPr>
        <w:t xml:space="preserve">Washington, DC 20201</w:t>
      </w:r>
    </w:p>
    <w:p>
      <w:pPr>
        <w:pStyle w:val="Style110"/>
        <w:keepNext w:val="0"/>
        <w:keepLines w:val="0"/>
        <w:widowControl w:val="0"/>
        <w:shd w:val="clear" w:color="auto" w:fill="auto"/>
        <w:tabs>
          <w:tab w:pos="1931" w:val="left"/>
        </w:tabs>
        <w:spacing w:before="0" w:after="0" w:line="276" w:lineRule="auto"/>
        <w:ind w:left="0" w:right="0" w:firstLine="760"/>
        <w:jc w:val="left"/>
      </w:pPr>
      <w:r>
        <w:rPr>
          <w:rStyle w:val="CharStyle111"/>
          <w:color w:val="303030"/>
        </w:rPr>
        <w:t>À:</w:t>
        <w:tab/>
        <w:t xml:space="preserve">Le Dr Michael S. Lauer. MD. Directeur adjoint de la recherche extra-muros. au niveau national</w:t>
      </w:r>
    </w:p>
    <w:p>
      <w:pPr>
        <w:pStyle w:val="Style110"/>
        <w:keepNext w:val="0"/>
        <w:keepLines w:val="0"/>
        <w:widowControl w:val="0"/>
        <w:shd w:val="clear" w:color="auto" w:fill="auto"/>
        <w:spacing w:before="0" w:line="276" w:lineRule="auto"/>
        <w:ind w:left="1940" w:right="0" w:firstLine="0"/>
        <w:jc w:val="left"/>
      </w:pPr>
      <w:r>
        <w:rPr>
          <w:rStyle w:val="CharStyle111"/>
          <w:color w:val="303030"/>
        </w:rPr>
        <w:t xml:space="preserve">Instituts de la santé</w:t>
      </w:r>
    </w:p>
    <w:p>
      <w:pPr>
        <w:pStyle w:val="Style110"/>
        <w:keepNext w:val="0"/>
        <w:keepLines w:val="0"/>
        <w:widowControl w:val="0"/>
        <w:shd w:val="clear" w:color="auto" w:fill="auto"/>
        <w:tabs>
          <w:tab w:pos="1931" w:val="left"/>
        </w:tabs>
        <w:spacing w:before="0" w:line="276" w:lineRule="auto"/>
        <w:ind w:left="0" w:right="0" w:firstLine="760"/>
        <w:jc w:val="left"/>
      </w:pPr>
      <w:r>
        <w:rPr>
          <w:rStyle w:val="CharStyle111"/>
          <w:color w:val="303030"/>
        </w:rPr>
        <w:t xml:space="preserve">À PARTIR DE:</w:t>
        <w:tab/>
        <w:t xml:space="preserve">Melanie Anne Egorin, Secrétaire adjointe à la législation</w:t>
      </w:r>
    </w:p>
    <w:p>
      <w:pPr>
        <w:pStyle w:val="Style110"/>
        <w:keepNext w:val="0"/>
        <w:keepLines w:val="0"/>
        <w:widowControl w:val="0"/>
        <w:shd w:val="clear" w:color="auto" w:fill="auto"/>
        <w:spacing w:before="0" w:line="276" w:lineRule="auto"/>
        <w:ind w:left="1940" w:right="0" w:hanging="1180"/>
        <w:jc w:val="left"/>
      </w:pPr>
      <w:r>
        <w:rPr>
          <w:rStyle w:val="CharStyle111"/>
          <w:color w:val="303030"/>
        </w:rPr>
        <w:t xml:space="preserve">OBJET : Entrevue transcrite devant le Comité </w:t>
      </w:r>
      <w:r>
        <w:rPr>
          <w:rStyle w:val="CharStyle111"/>
        </w:rPr>
        <w:t xml:space="preserve">de surveillance </w:t>
      </w:r>
      <w:r>
        <w:rPr>
          <w:rStyle w:val="CharStyle111"/>
          <w:color w:val="303030"/>
        </w:rPr>
        <w:t xml:space="preserve">et de responsabilisation de la Chambre, le Comité de l'énergie et du commerce et le Sous-comité spécial sur la pandémie de coronavirus</w:t>
      </w:r>
    </w:p>
    <w:p>
      <w:pPr>
        <w:pStyle w:val="Style110"/>
        <w:keepNext w:val="0"/>
        <w:keepLines w:val="0"/>
        <w:widowControl w:val="0"/>
        <w:shd w:val="clear" w:color="auto" w:fill="auto"/>
        <w:tabs>
          <w:tab w:pos="1931" w:val="left"/>
        </w:tabs>
        <w:spacing w:before="0" w:after="680" w:line="276" w:lineRule="auto"/>
        <w:ind w:left="0" w:right="0" w:firstLine="760"/>
        <w:jc w:val="left"/>
      </w:pPr>
      <w:r>
        <w:rPr>
          <w:rStyle w:val="CharStyle111"/>
          <w:color w:val="303030"/>
        </w:rPr>
        <w:t xml:space="preserve">DATE :</w:t>
        <w:tab/>
        <w:t xml:space="preserve">1er novembre 2023</w:t>
      </w:r>
    </w:p>
    <w:p>
      <w:pPr>
        <w:pStyle w:val="Style110"/>
        <w:keepNext w:val="0"/>
        <w:keepLines w:val="0"/>
        <w:widowControl w:val="0"/>
        <w:shd w:val="clear" w:color="auto" w:fill="auto"/>
        <w:spacing w:before="0" w:line="276" w:lineRule="auto"/>
        <w:ind w:left="760" w:right="0" w:firstLine="0"/>
        <w:jc w:val="left"/>
      </w:pPr>
      <w:r>
        <w:rPr>
          <w:rStyle w:val="CharStyle111"/>
        </w:rPr>
        <w:t xml:space="preserve">Je </w:t>
      </w:r>
      <w:r>
        <w:rPr>
          <w:rStyle w:val="CharStyle111"/>
          <w:color w:val="303030"/>
        </w:rPr>
        <w:t xml:space="preserve">crois comprendre </w:t>
      </w:r>
      <w:r>
        <w:rPr>
          <w:rStyle w:val="CharStyle111"/>
        </w:rPr>
        <w:t xml:space="preserve">que vous participerez </w:t>
      </w:r>
      <w:r>
        <w:rPr>
          <w:rStyle w:val="CharStyle111"/>
          <w:color w:val="303030"/>
        </w:rPr>
        <w:t xml:space="preserve">à </w:t>
      </w:r>
      <w:r>
        <w:rPr>
          <w:rStyle w:val="CharStyle111"/>
        </w:rPr>
        <w:t xml:space="preserve"> </w:t>
      </w:r>
      <w:r>
        <w:rPr>
          <w:rStyle w:val="CharStyle111"/>
          <w:color w:val="303030"/>
        </w:rPr>
        <w:t xml:space="preserve">une </w:t>
      </w:r>
      <w:r>
        <w:rPr>
          <w:rStyle w:val="CharStyle111"/>
        </w:rPr>
        <w:t xml:space="preserve"> </w:t>
      </w:r>
      <w:r>
        <w:rPr>
          <w:rStyle w:val="CharStyle111"/>
          <w:color w:val="303030"/>
        </w:rPr>
        <w:t xml:space="preserve">entrevue transcrite le </w:t>
      </w:r>
      <w:r>
        <w:rPr>
          <w:rStyle w:val="CharStyle111"/>
        </w:rPr>
        <w:t xml:space="preserve"> </w:t>
      </w:r>
      <w:r>
        <w:rPr>
          <w:rStyle w:val="CharStyle111"/>
          <w:color w:val="303030"/>
        </w:rPr>
        <w:t xml:space="preserve">2 novembre. </w:t>
      </w:r>
      <w:r>
        <w:rPr>
          <w:rStyle w:val="CharStyle111"/>
        </w:rPr>
        <w:t xml:space="preserve">2023, en votre qualité officielle de directeur adjoint de la recherche extra-muros </w:t>
      </w:r>
      <w:r>
        <w:rPr>
          <w:rStyle w:val="CharStyle111"/>
          <w:color w:val="0E2841"/>
        </w:rPr>
        <w:t xml:space="preserve">aux </w:t>
      </w:r>
      <w:r>
        <w:rPr>
          <w:rStyle w:val="CharStyle111"/>
        </w:rPr>
        <w:t xml:space="preserve">National Institutes of Health (NIH). Cet entretien fait suite à </w:t>
      </w:r>
      <w:r>
        <w:rPr>
          <w:rStyle w:val="CharStyle111"/>
          <w:color w:val="0E2841"/>
        </w:rPr>
        <w:t xml:space="preserve">une </w:t>
      </w:r>
      <w:r>
        <w:rPr>
          <w:rStyle w:val="CharStyle111"/>
        </w:rPr>
        <w:t xml:space="preserve">demande de la sous-commission </w:t>
      </w:r>
      <w:r>
        <w:rPr>
          <w:rStyle w:val="CharStyle111"/>
          <w:color w:val="303030"/>
        </w:rPr>
        <w:t xml:space="preserve">spéciale </w:t>
      </w:r>
      <w:r>
        <w:rPr>
          <w:rStyle w:val="CharStyle111"/>
        </w:rPr>
        <w:t xml:space="preserve">de la Chambre des représentants sur la pandémie de coronavirus, de la commission de la surveillance et de la responsabilité de</w:t>
      </w:r>
      <w:r>
        <w:rPr>
          <w:rStyle w:val="CharStyle111"/>
          <w:color w:val="0E2841"/>
        </w:rPr>
        <w:t xml:space="preserve">la Chambre </w:t>
      </w:r>
      <w:r>
        <w:rPr>
          <w:rStyle w:val="CharStyle111"/>
          <w:color w:val="303030"/>
        </w:rPr>
        <w:t xml:space="preserve">et </w:t>
      </w:r>
      <w:r>
        <w:rPr>
          <w:rStyle w:val="CharStyle111"/>
          <w:color w:val="0E2841"/>
        </w:rPr>
        <w:t xml:space="preserve">de la commission de l’énergie </w:t>
      </w:r>
      <w:r>
        <w:rPr>
          <w:rStyle w:val="CharStyle111"/>
          <w:color w:val="303030"/>
        </w:rPr>
        <w:t xml:space="preserve"> </w:t>
      </w:r>
      <w:r>
        <w:rPr>
          <w:rStyle w:val="CharStyle111"/>
          <w:color w:val="0E2841"/>
        </w:rPr>
        <w:t xml:space="preserve">et du commerce </w:t>
      </w:r>
      <w:r>
        <w:rPr>
          <w:rStyle w:val="CharStyle111"/>
          <w:color w:val="303030"/>
        </w:rPr>
        <w:t xml:space="preserve">de la </w:t>
      </w:r>
      <w:r>
        <w:rPr>
          <w:rStyle w:val="CharStyle111"/>
          <w:color w:val="0E2841"/>
        </w:rPr>
        <w:t xml:space="preserve">Chambre (ci-après </w:t>
      </w:r>
      <w:r>
        <w:rPr>
          <w:rStyle w:val="CharStyle111"/>
        </w:rPr>
        <w:t xml:space="preserve">les «commissions») </w:t>
      </w:r>
      <w:r>
        <w:rPr>
          <w:rStyle w:val="CharStyle111"/>
          <w:color w:val="303030"/>
        </w:rPr>
        <w:t xml:space="preserve">concernant </w:t>
      </w:r>
      <w:r>
        <w:rPr>
          <w:rStyle w:val="CharStyle111"/>
        </w:rPr>
        <w:t xml:space="preserve">des </w:t>
      </w:r>
      <w:r>
        <w:rPr>
          <w:rStyle w:val="CharStyle111"/>
          <w:color w:val="303030"/>
        </w:rPr>
        <w:t xml:space="preserve">lettres envoyées </w:t>
      </w:r>
      <w:r>
        <w:rPr>
          <w:rStyle w:val="CharStyle111"/>
        </w:rPr>
        <w:t xml:space="preserve">au ministère </w:t>
      </w:r>
      <w:r>
        <w:rPr>
          <w:rStyle w:val="CharStyle111"/>
          <w:color w:val="303030"/>
        </w:rPr>
        <w:t xml:space="preserve">le </w:t>
      </w:r>
      <w:r>
        <w:rPr>
          <w:rStyle w:val="CharStyle111"/>
        </w:rPr>
        <w:t xml:space="preserve">13 février. 2023. et 14 septembre. </w:t>
      </w:r>
      <w:r>
        <w:rPr>
          <w:rStyle w:val="CharStyle111"/>
          <w:color w:val="303030"/>
        </w:rPr>
        <w:t xml:space="preserve"> </w:t>
      </w:r>
      <w:r>
        <w:rPr>
          <w:rStyle w:val="CharStyle111"/>
        </w:rPr>
        <w:t xml:space="preserve">2023. </w:t>
      </w:r>
      <w:r>
        <w:rPr>
          <w:rStyle w:val="CharStyle111"/>
          <w:color w:val="303030"/>
        </w:rPr>
        <w:t xml:space="preserve">Le </w:t>
      </w:r>
      <w:r>
        <w:rPr>
          <w:rStyle w:val="CharStyle111"/>
        </w:rPr>
        <w:t xml:space="preserve">présent mémorandum a </w:t>
      </w:r>
      <w:r>
        <w:rPr>
          <w:rStyle w:val="CharStyle111"/>
          <w:color w:val="303030"/>
        </w:rPr>
        <w:t xml:space="preserve">pour </w:t>
      </w:r>
      <w:r>
        <w:rPr>
          <w:rStyle w:val="CharStyle111"/>
        </w:rPr>
        <w:t xml:space="preserve">objet de vous donner des indications sur </w:t>
      </w:r>
      <w:r>
        <w:rPr>
          <w:rStyle w:val="CharStyle111"/>
          <w:color w:val="303030"/>
        </w:rPr>
        <w:t xml:space="preserve">la mesure dans laquelle </w:t>
      </w:r>
      <w:r>
        <w:rPr>
          <w:rStyle w:val="CharStyle111"/>
        </w:rPr>
        <w:t xml:space="preserve">vous </w:t>
      </w:r>
      <w:r>
        <w:rPr>
          <w:rStyle w:val="CharStyle111"/>
          <w:color w:val="303030"/>
        </w:rPr>
        <w:t xml:space="preserve">êtes </w:t>
      </w:r>
      <w:r>
        <w:rPr>
          <w:rStyle w:val="CharStyle111"/>
        </w:rPr>
        <w:t xml:space="preserve">autorisé à </w:t>
      </w:r>
      <w:r>
        <w:rPr>
          <w:rStyle w:val="CharStyle111"/>
          <w:color w:val="303030"/>
        </w:rPr>
        <w:t xml:space="preserve">fournir des </w:t>
      </w:r>
      <w:r>
        <w:rPr>
          <w:rStyle w:val="CharStyle111"/>
        </w:rPr>
        <w:t xml:space="preserve">renseignements aux comités.</w:t>
      </w:r>
    </w:p>
    <w:p>
      <w:pPr>
        <w:pStyle w:val="Style110"/>
        <w:keepNext w:val="0"/>
        <w:keepLines w:val="0"/>
        <w:widowControl w:val="0"/>
        <w:shd w:val="clear" w:color="auto" w:fill="auto"/>
        <w:spacing w:before="0" w:line="276" w:lineRule="auto"/>
        <w:ind w:left="760" w:right="0" w:firstLine="0"/>
        <w:jc w:val="left"/>
      </w:pPr>
      <w:r>
        <w:rPr>
          <w:rStyle w:val="CharStyle111"/>
          <w:color w:val="0E2841"/>
        </w:rPr>
        <w:t xml:space="preserve">Les </w:t>
      </w:r>
      <w:r>
        <w:rPr>
          <w:rStyle w:val="CharStyle111"/>
          <w:color w:val="303030"/>
        </w:rPr>
        <w:t xml:space="preserve">lettres demandant cet </w:t>
      </w:r>
      <w:r>
        <w:rPr>
          <w:rStyle w:val="CharStyle111"/>
        </w:rPr>
        <w:t xml:space="preserve">entretien visaient à obtenir des informations </w:t>
      </w:r>
      <w:r>
        <w:rPr>
          <w:rStyle w:val="CharStyle111"/>
          <w:color w:val="303030"/>
        </w:rPr>
        <w:t xml:space="preserve">sur </w:t>
      </w:r>
      <w:r>
        <w:rPr>
          <w:rStyle w:val="CharStyle111"/>
        </w:rPr>
        <w:t xml:space="preserve">les origines de </w:t>
      </w:r>
      <w:r>
        <w:rPr>
          <w:rStyle w:val="CharStyle111"/>
          <w:color w:val="303030"/>
        </w:rPr>
        <w:t xml:space="preserve">la </w:t>
      </w:r>
      <w:r>
        <w:rPr>
          <w:rStyle w:val="CharStyle111"/>
        </w:rPr>
        <w:t xml:space="preserve">pandémie de COVID-19. </w:t>
      </w:r>
      <w:r>
        <w:rPr>
          <w:rStyle w:val="CharStyle111"/>
          <w:color w:val="303030"/>
        </w:rPr>
        <w:t xml:space="preserve">Comme </w:t>
      </w:r>
      <w:r>
        <w:rPr>
          <w:rStyle w:val="CharStyle111"/>
        </w:rPr>
        <w:t xml:space="preserve">vous </w:t>
      </w:r>
      <w:r>
        <w:rPr>
          <w:rStyle w:val="CharStyle111"/>
          <w:color w:val="303030"/>
        </w:rPr>
        <w:t xml:space="preserve">le savez, le ministère </w:t>
      </w:r>
      <w:r>
        <w:rPr>
          <w:rStyle w:val="CharStyle111"/>
          <w:color w:val="303030"/>
        </w:rPr>
        <w:t xml:space="preserve">de </w:t>
      </w:r>
      <w:r>
        <w:rPr>
          <w:rStyle w:val="CharStyle111"/>
          <w:color w:val="303030"/>
        </w:rPr>
        <w:t xml:space="preserve">la </w:t>
      </w:r>
      <w:r>
        <w:rPr>
          <w:rStyle w:val="CharStyle111"/>
        </w:rPr>
        <w:t xml:space="preserve">Santé et des </w:t>
      </w:r>
      <w:r>
        <w:rPr>
          <w:rStyle w:val="CharStyle111"/>
          <w:color w:val="303030"/>
        </w:rPr>
        <w:t xml:space="preserve">Envois humains (HHS </w:t>
      </w:r>
      <w:r>
        <w:rPr>
          <w:rStyle w:val="CharStyle111"/>
        </w:rPr>
        <w:t xml:space="preserve">ou Département) s'efforce de coopérer avec </w:t>
      </w:r>
      <w:r>
        <w:rPr>
          <w:rStyle w:val="CharStyle111"/>
          <w:color w:val="303030"/>
        </w:rPr>
        <w:t xml:space="preserve">le Congrès </w:t>
      </w:r>
      <w:r>
        <w:rPr>
          <w:rStyle w:val="CharStyle111"/>
        </w:rPr>
        <w:t xml:space="preserve">et de répondre à ses demandes d'informations </w:t>
      </w:r>
      <w:r>
        <w:rPr>
          <w:rStyle w:val="CharStyle111"/>
          <w:color w:val="303030"/>
        </w:rPr>
        <w:t xml:space="preserve">concernant notre </w:t>
      </w:r>
      <w:r>
        <w:rPr>
          <w:rStyle w:val="CharStyle111"/>
        </w:rPr>
        <w:t xml:space="preserve">travail de </w:t>
      </w:r>
      <w:r>
        <w:rPr>
          <w:rStyle w:val="CharStyle111"/>
          <w:color w:val="303030"/>
        </w:rPr>
        <w:t xml:space="preserve">prévention et </w:t>
      </w:r>
      <w:r>
        <w:rPr>
          <w:rStyle w:val="CharStyle111"/>
        </w:rPr>
        <w:t xml:space="preserve">de réponse aux </w:t>
      </w:r>
      <w:r>
        <w:rPr>
          <w:rStyle w:val="CharStyle111"/>
          <w:color w:val="303030"/>
        </w:rPr>
        <w:t xml:space="preserve">urgences de santé </w:t>
      </w:r>
      <w:r>
        <w:rPr>
          <w:rStyle w:val="CharStyle111"/>
          <w:color w:val="303030"/>
        </w:rPr>
        <w:t xml:space="preserve">publique. </w:t>
      </w:r>
    </w:p>
    <w:p>
      <w:pPr>
        <w:pStyle w:val="Style110"/>
        <w:keepNext w:val="0"/>
        <w:keepLines w:val="0"/>
        <w:widowControl w:val="0"/>
        <w:shd w:val="clear" w:color="auto" w:fill="auto"/>
        <w:spacing w:before="0" w:line="276" w:lineRule="auto"/>
        <w:ind w:left="760" w:right="0" w:firstLine="0"/>
        <w:jc w:val="left"/>
      </w:pPr>
      <w:r>
        <w:rPr>
          <w:rStyle w:val="CharStyle111"/>
          <w:color w:val="303030"/>
        </w:rPr>
        <w:t xml:space="preserve">À </w:t>
      </w:r>
      <w:r>
        <w:rPr>
          <w:rStyle w:val="CharStyle111"/>
        </w:rPr>
        <w:t xml:space="preserve">cette fin, vous êtes </w:t>
      </w:r>
      <w:r>
        <w:rPr>
          <w:rStyle w:val="CharStyle111"/>
          <w:color w:val="303030"/>
        </w:rPr>
        <w:t xml:space="preserve">autorisé </w:t>
      </w:r>
      <w:r>
        <w:rPr>
          <w:rStyle w:val="CharStyle111"/>
        </w:rPr>
        <w:t xml:space="preserve">à </w:t>
      </w:r>
      <w:r>
        <w:rPr>
          <w:rStyle w:val="CharStyle111"/>
          <w:color w:val="303030"/>
        </w:rPr>
        <w:t xml:space="preserve">répondre </w:t>
      </w:r>
      <w:r>
        <w:rPr>
          <w:rStyle w:val="CharStyle111"/>
        </w:rPr>
        <w:t xml:space="preserve">aux questions </w:t>
      </w:r>
      <w:r>
        <w:rPr>
          <w:rStyle w:val="CharStyle111"/>
          <w:color w:val="303030"/>
        </w:rPr>
        <w:t xml:space="preserve">concernant </w:t>
      </w:r>
      <w:r>
        <w:rPr>
          <w:rStyle w:val="CharStyle111"/>
        </w:rPr>
        <w:t xml:space="preserve">votre </w:t>
      </w:r>
      <w:r>
        <w:rPr>
          <w:rStyle w:val="CharStyle111"/>
          <w:color w:val="303030"/>
        </w:rPr>
        <w:t xml:space="preserve">rôle </w:t>
      </w:r>
      <w:r>
        <w:rPr>
          <w:rStyle w:val="CharStyle111"/>
        </w:rPr>
        <w:t xml:space="preserve">en tant que directeur adjoint de la recherche extra-muros </w:t>
      </w:r>
      <w:r>
        <w:rPr>
          <w:rStyle w:val="CharStyle111"/>
          <w:color w:val="303030"/>
        </w:rPr>
        <w:t xml:space="preserve">pour les </w:t>
      </w:r>
      <w:r>
        <w:rPr>
          <w:rStyle w:val="CharStyle111"/>
        </w:rPr>
        <w:t xml:space="preserve">NIH </w:t>
      </w:r>
      <w:r>
        <w:rPr>
          <w:rStyle w:val="CharStyle111"/>
          <w:color w:val="303030"/>
        </w:rPr>
        <w:t xml:space="preserve">dans </w:t>
      </w:r>
      <w:r>
        <w:rPr>
          <w:rStyle w:val="CharStyle111"/>
        </w:rPr>
        <w:t xml:space="preserve">l'examen, </w:t>
      </w:r>
      <w:r>
        <w:rPr>
          <w:rStyle w:val="CharStyle111"/>
          <w:color w:val="303030"/>
        </w:rPr>
        <w:t xml:space="preserve"> </w:t>
      </w:r>
      <w:r>
        <w:rPr>
          <w:rStyle w:val="CharStyle111"/>
        </w:rPr>
        <w:t xml:space="preserve">la gestion </w:t>
      </w:r>
      <w:r>
        <w:rPr>
          <w:rStyle w:val="CharStyle111"/>
          <w:color w:val="303030"/>
        </w:rPr>
        <w:t>et</w:t>
      </w:r>
      <w:r>
        <w:rPr>
          <w:rStyle w:val="CharStyle111"/>
          <w:color w:val="0E2841"/>
        </w:rPr>
        <w:t xml:space="preserve">la surveillance </w:t>
      </w:r>
      <w:r>
        <w:rPr>
          <w:rStyle w:val="CharStyle111"/>
          <w:color w:val="303030"/>
        </w:rPr>
        <w:t xml:space="preserve">de la </w:t>
      </w:r>
      <w:r>
        <w:rPr>
          <w:rStyle w:val="CharStyle111"/>
        </w:rPr>
        <w:t xml:space="preserve">subvention des</w:t>
      </w:r>
      <w:r>
        <w:rPr>
          <w:rStyle w:val="CharStyle111"/>
          <w:color w:val="303030"/>
        </w:rPr>
        <w:t xml:space="preserve">NIH </w:t>
      </w:r>
      <w:r>
        <w:rPr>
          <w:rStyle w:val="CharStyle111"/>
        </w:rPr>
        <w:t xml:space="preserve">&amp;R01AI110964 jusqu'au 26 </w:t>
      </w:r>
      <w:r>
        <w:rPr>
          <w:rStyle w:val="CharStyle111"/>
          <w:color w:val="303030"/>
        </w:rPr>
        <w:t xml:space="preserve">avril. </w:t>
      </w:r>
      <w:r>
        <w:rPr>
          <w:rStyle w:val="CharStyle111"/>
        </w:rPr>
        <w:t xml:space="preserve">2023. Bien sûr, vous devez </w:t>
      </w:r>
      <w:r>
        <w:rPr>
          <w:rStyle w:val="CharStyle111"/>
          <w:color w:val="0E2841"/>
        </w:rPr>
        <w:t xml:space="preserve">veiller </w:t>
      </w:r>
      <w:r>
        <w:rPr>
          <w:rStyle w:val="CharStyle111"/>
          <w:color w:val="303030"/>
        </w:rPr>
        <w:t xml:space="preserve">à </w:t>
      </w:r>
      <w:r>
        <w:rPr>
          <w:rStyle w:val="CharStyle111"/>
        </w:rPr>
        <w:t xml:space="preserve">témoigner des faits </w:t>
      </w:r>
      <w:r>
        <w:rPr>
          <w:rStyle w:val="CharStyle111"/>
          <w:color w:val="0E2841"/>
        </w:rPr>
        <w:t xml:space="preserve">dont </w:t>
      </w:r>
      <w:r>
        <w:rPr>
          <w:rStyle w:val="CharStyle111"/>
        </w:rPr>
        <w:t xml:space="preserve">vous avez </w:t>
      </w:r>
      <w:r>
        <w:rPr>
          <w:rStyle w:val="CharStyle111"/>
          <w:color w:val="303030"/>
        </w:rPr>
        <w:t xml:space="preserve">une </w:t>
      </w:r>
      <w:r>
        <w:rPr>
          <w:rStyle w:val="CharStyle111"/>
          <w:color w:val="303030"/>
        </w:rPr>
        <w:t xml:space="preserve">connaissance personnelle </w:t>
      </w:r>
      <w:r>
        <w:rPr>
          <w:rStyle w:val="CharStyle111"/>
          <w:color w:val="303030"/>
        </w:rPr>
        <w:t xml:space="preserve">et à vous abstenir </w:t>
      </w:r>
      <w:r>
        <w:rPr>
          <w:rStyle w:val="CharStyle111"/>
        </w:rPr>
        <w:t xml:space="preserve">de spéculer sur </w:t>
      </w:r>
      <w:r>
        <w:rPr>
          <w:rStyle w:val="CharStyle111"/>
          <w:color w:val="303030"/>
        </w:rPr>
        <w:t xml:space="preserve">des questions dont vous n'avez </w:t>
      </w:r>
      <w:r>
        <w:rPr>
          <w:rStyle w:val="CharStyle111"/>
        </w:rPr>
        <w:t xml:space="preserve"> </w:t>
      </w:r>
      <w:r>
        <w:rPr>
          <w:rStyle w:val="CharStyle111"/>
          <w:color w:val="303030"/>
        </w:rPr>
        <w:t xml:space="preserve"> </w:t>
      </w:r>
      <w:r>
        <w:rPr>
          <w:rStyle w:val="CharStyle111"/>
        </w:rPr>
        <w:t xml:space="preserve">pas une connaissance certaine. </w:t>
      </w:r>
      <w:r>
        <w:rPr>
          <w:rStyle w:val="CharStyle111"/>
          <w:color w:val="0E2841"/>
        </w:rPr>
        <w:t xml:space="preserve">Si </w:t>
      </w:r>
      <w:r>
        <w:rPr>
          <w:rStyle w:val="CharStyle111"/>
        </w:rPr>
        <w:t xml:space="preserve">vous avez des questions </w:t>
      </w:r>
      <w:r>
        <w:rPr>
          <w:rStyle w:val="CharStyle111"/>
          <w:color w:val="303030"/>
        </w:rPr>
        <w:t xml:space="preserve">concernant </w:t>
      </w:r>
      <w:r>
        <w:rPr>
          <w:rStyle w:val="CharStyle111"/>
          <w:color w:val="0E2841"/>
        </w:rPr>
        <w:t xml:space="preserve">la </w:t>
      </w:r>
      <w:r>
        <w:rPr>
          <w:rStyle w:val="CharStyle111"/>
        </w:rPr>
        <w:t xml:space="preserve">portée de votre autorisation de discuter de certaines informations, veuillez </w:t>
      </w:r>
      <w:r>
        <w:rPr>
          <w:rStyle w:val="CharStyle111"/>
          <w:color w:val="303030"/>
        </w:rPr>
        <w:t xml:space="preserve">consulter l'avocat de HHS </w:t>
      </w:r>
      <w:r>
        <w:rPr>
          <w:rStyle w:val="CharStyle111"/>
        </w:rPr>
        <w:t xml:space="preserve">avant </w:t>
      </w:r>
      <w:r>
        <w:rPr>
          <w:rStyle w:val="CharStyle111"/>
          <w:color w:val="303030"/>
        </w:rPr>
        <w:t xml:space="preserve">de </w:t>
      </w:r>
      <w:r>
        <w:rPr>
          <w:rStyle w:val="CharStyle111"/>
        </w:rPr>
        <w:t xml:space="preserve">divulguer ces informations aux comités.</w:t>
      </w:r>
    </w:p>
    <w:p>
      <w:pPr>
        <w:pStyle w:val="Style110"/>
        <w:keepNext w:val="0"/>
        <w:keepLines w:val="0"/>
        <w:widowControl w:val="0"/>
        <w:shd w:val="clear" w:color="auto" w:fill="auto"/>
        <w:spacing w:before="0" w:line="276" w:lineRule="auto"/>
        <w:ind w:left="760" w:right="0" w:firstLine="0"/>
        <w:jc w:val="left"/>
      </w:pPr>
      <w:r>
        <w:rPr>
          <w:rStyle w:val="CharStyle111"/>
        </w:rPr>
        <w:t xml:space="preserve">Vous </w:t>
      </w:r>
      <w:r>
        <w:rPr>
          <w:rStyle w:val="CharStyle111"/>
          <w:color w:val="303030"/>
        </w:rPr>
        <w:t xml:space="preserve">comparaîtrez </w:t>
      </w:r>
      <w:r>
        <w:rPr>
          <w:rStyle w:val="CharStyle111"/>
        </w:rPr>
        <w:t xml:space="preserve"> </w:t>
      </w:r>
      <w:r>
        <w:rPr>
          <w:rStyle w:val="CharStyle111"/>
          <w:color w:val="303030"/>
        </w:rPr>
        <w:t xml:space="preserve">devant </w:t>
      </w:r>
      <w:r>
        <w:rPr>
          <w:rStyle w:val="CharStyle111"/>
          <w:color w:val="0E2841"/>
        </w:rPr>
        <w:t xml:space="preserve">les </w:t>
      </w:r>
      <w:r>
        <w:rPr>
          <w:rStyle w:val="CharStyle111"/>
        </w:rPr>
        <w:t xml:space="preserve">Comités </w:t>
      </w:r>
      <w:r>
        <w:rPr>
          <w:rStyle w:val="CharStyle111"/>
          <w:color w:val="303030"/>
        </w:rPr>
        <w:t xml:space="preserve">sur une </w:t>
      </w:r>
      <w:r>
        <w:rPr>
          <w:rStyle w:val="CharStyle111"/>
        </w:rPr>
        <w:t xml:space="preserve">base volontaire. </w:t>
      </w:r>
      <w:r>
        <w:rPr>
          <w:rStyle w:val="CharStyle111"/>
          <w:color w:val="303030"/>
        </w:rPr>
        <w:t xml:space="preserve">La </w:t>
      </w:r>
      <w:r>
        <w:rPr>
          <w:rStyle w:val="CharStyle111"/>
        </w:rPr>
        <w:t xml:space="preserve">seule </w:t>
      </w:r>
      <w:r>
        <w:rPr>
          <w:rStyle w:val="CharStyle111"/>
          <w:color w:val="303030"/>
        </w:rPr>
        <w:t xml:space="preserve">commémoration </w:t>
      </w:r>
      <w:r>
        <w:rPr>
          <w:rStyle w:val="CharStyle111"/>
        </w:rPr>
        <w:t xml:space="preserve">de l'entrevue </w:t>
      </w:r>
      <w:r>
        <w:rPr>
          <w:rStyle w:val="CharStyle111"/>
          <w:color w:val="303030"/>
        </w:rPr>
        <w:t xml:space="preserve">transcrite </w:t>
      </w:r>
      <w:r>
        <w:rPr>
          <w:rStyle w:val="CharStyle111"/>
          <w:color w:val="303030"/>
        </w:rPr>
        <w:t xml:space="preserve">de pneu </w:t>
      </w:r>
      <w:r>
        <w:rPr>
          <w:rStyle w:val="CharStyle111"/>
          <w:color w:val="303030"/>
        </w:rPr>
        <w:t xml:space="preserve">sera la transcription écrite, </w:t>
      </w:r>
      <w:r>
        <w:rPr>
          <w:rStyle w:val="CharStyle111"/>
        </w:rPr>
        <w:t xml:space="preserve">fournie par </w:t>
      </w:r>
      <w:r>
        <w:rPr>
          <w:rStyle w:val="CharStyle111"/>
          <w:color w:val="0E2841"/>
        </w:rPr>
        <w:t xml:space="preserve">le </w:t>
      </w:r>
      <w:r>
        <w:rPr>
          <w:rStyle w:val="CharStyle111"/>
        </w:rPr>
        <w:t>journaliste</w:t>
      </w:r>
      <w:r>
        <w:rPr>
          <w:rStyle w:val="CharStyle111"/>
          <w:color w:val="303030"/>
        </w:rPr>
        <w:t xml:space="preserve">officiel. </w:t>
      </w:r>
      <w:r>
        <w:rPr>
          <w:rStyle w:val="CharStyle111"/>
          <w:color w:val="0E2841"/>
        </w:rPr>
        <w:t xml:space="preserve">Le </w:t>
      </w:r>
      <w:r>
        <w:rPr>
          <w:rStyle w:val="CharStyle111"/>
        </w:rPr>
        <w:t xml:space="preserve">Ministère </w:t>
      </w:r>
      <w:r>
        <w:rPr>
          <w:rStyle w:val="CharStyle111"/>
          <w:color w:val="303030"/>
        </w:rPr>
        <w:t xml:space="preserve">s'attend </w:t>
      </w:r>
      <w:r>
        <w:rPr>
          <w:rStyle w:val="CharStyle111"/>
        </w:rPr>
        <w:t xml:space="preserve">à </w:t>
      </w:r>
      <w:r>
        <w:rPr>
          <w:rStyle w:val="CharStyle111"/>
          <w:color w:val="303030"/>
        </w:rPr>
        <w:t xml:space="preserve">avoir </w:t>
      </w:r>
      <w:r>
        <w:rPr>
          <w:rStyle w:val="CharStyle111"/>
        </w:rPr>
        <w:t xml:space="preserve">l'occasion d'examiner une ébauche </w:t>
      </w:r>
      <w:r>
        <w:rPr>
          <w:rStyle w:val="CharStyle111"/>
          <w:color w:val="303030"/>
        </w:rPr>
        <w:t xml:space="preserve">de la transcription et de </w:t>
      </w:r>
      <w:r>
        <w:rPr>
          <w:rStyle w:val="CharStyle111"/>
        </w:rPr>
        <w:t xml:space="preserve">soumettre toute </w:t>
      </w:r>
      <w:r>
        <w:rPr>
          <w:rStyle w:val="CharStyle111"/>
          <w:color w:val="303030"/>
        </w:rPr>
        <w:t xml:space="preserve">errata, </w:t>
      </w:r>
      <w:r>
        <w:rPr>
          <w:rStyle w:val="CharStyle111"/>
        </w:rPr>
        <w:t xml:space="preserve">s'il </w:t>
      </w:r>
      <w:r>
        <w:rPr>
          <w:rStyle w:val="CharStyle111"/>
          <w:color w:val="303030"/>
        </w:rPr>
        <w:t xml:space="preserve">y a lieu.</w:t>
      </w:r>
      <w:r>
        <w:br w:type="page"/>
      </w:r>
    </w:p>
    <w:p>
      <w:pPr>
        <w:pStyle w:val="Style24"/>
        <w:keepNext w:val="0"/>
        <w:keepLines w:val="0"/>
        <w:widowControl w:val="0"/>
        <w:shd w:val="clear" w:color="auto" w:fill="auto"/>
        <w:spacing w:before="0" w:after="960"/>
        <w:ind w:left="0" w:right="0" w:firstLine="0"/>
        <w:jc w:val="left"/>
      </w:pPr>
      <w:r>
        <w:drawing>
          <wp:anchor distT="0" distB="0" distL="114300" distR="114300" simplePos="0" relativeHeight="125829443" behindDoc="0" locked="0" layoutInCell="1" allowOverlap="1">
            <wp:simplePos x="0" y="0"/>
            <wp:positionH relativeFrom="page">
              <wp:posOffset>1172210</wp:posOffset>
            </wp:positionH>
            <wp:positionV relativeFrom="paragraph">
              <wp:posOffset>1397000</wp:posOffset>
            </wp:positionV>
            <wp:extent cx="2688590" cy="822960"/>
            <wp:wrapSquare wrapText="right"/>
            <wp:docPr id="127" name="Forme 127"/>
            <a:graphic xmlns:a="http://schemas.openxmlformats.org/drawingml/2006/main">
              <a:graphicData uri="http://schemas.openxmlformats.org/drawingml/2006/picture">
                <pic:pic xmlns:pic="http://schemas.openxmlformats.org/drawingml/2006/picture">
                  <pic:nvPicPr>
                    <pic:cNvPr id="128" name="Boîte à images 128"/>
                    <pic:cNvPicPr/>
                  </pic:nvPicPr>
                  <pic:blipFill>
                    <a:blip r:embed="rId54"/>
                    <a:stretch/>
                  </pic:blipFill>
                  <pic:spPr>
                    <a:xfrm>
                      <a:ext cx="2688590" cy="822960"/>
                    </a:xfrm>
                    <a:prstGeom prst="rect"/>
                  </pic:spPr>
                </pic:pic>
              </a:graphicData>
            </a:graphic>
          </wp:anchor>
        </w:drawing>
      </w:r>
      <w:r>
        <mc:AlternateContent>
          <mc:Choice Requires="wps">
            <w:drawing>
              <wp:anchor distT="0" distB="0" distL="114300" distR="114300" simplePos="0" relativeHeight="125829444" behindDoc="0" locked="0" layoutInCell="1" allowOverlap="1">
                <wp:simplePos x="0" y="0"/>
                <wp:positionH relativeFrom="page">
                  <wp:posOffset>4802505</wp:posOffset>
                </wp:positionH>
                <wp:positionV relativeFrom="paragraph">
                  <wp:posOffset>1663700</wp:posOffset>
                </wp:positionV>
                <wp:extent cx="1002665" cy="158750"/>
                <wp:wrapTopAndBottom/>
                <wp:docPr id="129" name="Forme 129"/>
                <a:graphic xmlns:a="http://schemas.openxmlformats.org/drawingml/2006/main">
                  <a:graphicData uri="http://schemas.microsoft.com/office/word/2010/wordprocessingShape">
                    <wps:wsp>
                      <wps:cNvSpPr txBox="1"/>
                      <wps:spPr>
                        <a:xfrm>
                          <a:ext cx="1002665" cy="158750"/>
                        </a:xfrm>
                        <a:prstGeom prst="rect"/>
                        <a:noFill/>
                      </wps:spPr>
                      <wps:txbx>
                        <w:txbxContent>
                          <w:p>
                            <w:pPr>
                              <w:pStyle w:val="Style24"/>
                              <w:keepNext w:val="0"/>
                              <w:keepLines w:val="0"/>
                              <w:widowControl w:val="0"/>
                              <w:shd w:val="clear" w:color="auto" w:fill="auto"/>
                              <w:spacing w:before="0" w:after="0" w:line="240" w:lineRule="auto"/>
                              <w:ind w:left="0" w:right="0" w:firstLine="0"/>
                              <w:jc w:val="left"/>
                              <w:rPr>
                                <w:sz w:val="20"/>
                              </w:rPr>
                            </w:pPr>
                            <w:r>
                              <w:rPr>
                                <w:rStyle w:val="CharStyle25"/>
                                <w:color w:val="0E2841"/>
                                <w:sz w:val="20"/>
                              </w:rPr>
                              <w:t xml:space="preserve">BUREAU </w:t>
                            </w:r>
                            <w:r>
                              <w:rPr>
                                <w:rStyle w:val="CharStyle25"/>
                                <w:color w:val="467886"/>
                                <w:sz w:val="20"/>
                              </w:rPr>
                              <w:t xml:space="preserve">DU SECRÉTAIRE</w:t>
                            </w:r>
                          </w:p>
                        </w:txbxContent>
                      </wps:txbx>
                      <wps:bodyPr wrap="none" lIns="0" tIns="0" rIns="0" bIns="0">
                        <a:noAutoFit/>
                      </wps:bodyPr>
                    </wps:wsp>
                  </a:graphicData>
                </a:graphic>
              </wp:anchor>
            </w:drawing>
          </mc:Choice>
        </mc:AlternateContent>
      </w:r>
      <w:r>
        <w:rPr>
          <w:rStyle w:val="CharStyle25"/>
        </w:rPr>
        <w:t>Fauci.</w:t>
        <w:footnoteReference w:id="344"/>
        <w:t xml:space="preserve"> Le Sous-comité spécial a demandé une entrevue avec le Dr Morens avant même de découvrir qu'il utilisait des courriels personnels. </w:t>
        <w:footnoteReference w:id="345"/>
        <w:t xml:space="preserve">En outre, il était clair que le sous-comité restreint avait des questions à poser au Dr Morens concernant son implication ou sa connaissance des origines de la COVID-19, de l’acquisition de la recherche fonctionnelle et d’autres domaines articulés dans le mandat du SSCP. </w:t>
        <w:footnoteReference w:id="346"/>
        <w:t xml:space="preserve">À la veille du premier entretien du Dr Morens, le HHS a demandé au Dr Morens de ne pas fournir «d’informations sur votre travail pour le NIAID».</w:t>
        <w:footnoteReference w:id="347"/>
      </w:r>
    </w:p>
    <w:p>
      <w:pPr>
        <w:pStyle w:val="Style24"/>
        <w:keepNext w:val="0"/>
        <w:keepLines w:val="0"/>
        <w:widowControl w:val="0"/>
        <w:shd w:val="clear" w:color="auto" w:fill="auto"/>
        <w:spacing w:before="280" w:after="400" w:line="175" w:lineRule="auto"/>
        <w:ind w:left="1300" w:right="0" w:firstLine="0"/>
        <w:jc w:val="left"/>
        <w:rPr>
          <w:sz w:val="20"/>
        </w:rPr>
      </w:pPr>
      <w:r>
        <w:rPr>
          <w:rStyle w:val="CharStyle25"/>
          <w:color w:val="464648"/>
          <w:sz w:val="20"/>
        </w:rPr>
        <w:t xml:space="preserve">Secrétaire adjoint à la législation Washington, DC 20201</w:t>
      </w:r>
    </w:p>
    <w:tbl>
      <w:tblPr>
        <w:tblOverlap w:val="never"/>
        <w:jc w:val="center"/>
        <w:tblLayout w:type="fixed"/>
      </w:tblPr>
      <w:tblGrid>
        <w:gridCol w:w="1066"/>
        <w:gridCol w:w="7411"/>
      </w:tblGrid>
      <w:tr>
        <w:trPr>
          <w:trHeight w:val="514" w:hRule="exact"/>
        </w:trPr>
        <w:tc>
          <w:tcPr>
            <w:tcBorders/>
            <w:shd w:val="clear" w:color="auto" w:fill="auto"/>
            <w:vAlign w:val="top"/>
          </w:tcPr>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464648"/>
                <w:sz w:val="17"/>
              </w:rPr>
              <w:t>À:</w:t>
            </w:r>
          </w:p>
        </w:tc>
        <w:tc>
          <w:tcPr>
            <w:tcBorders/>
            <w:shd w:val="clear" w:color="auto" w:fill="auto"/>
            <w:vAlign w:val="top"/>
          </w:tcPr>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303030"/>
                <w:sz w:val="17"/>
              </w:rPr>
              <w:t xml:space="preserve">Dr David M. Morens. M.D., conseiller scientifique principal. Bureau du directeur.</w:t>
            </w:r>
          </w:p>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303030"/>
                <w:sz w:val="17"/>
              </w:rPr>
              <w:t xml:space="preserve">Institut national des allergies et des maladies infectieuses. Instituts nationaux de la santé</w:t>
            </w:r>
          </w:p>
        </w:tc>
      </w:tr>
      <w:tr>
        <w:trPr>
          <w:trHeight w:val="509" w:hRule="exact"/>
        </w:trPr>
        <w:tc>
          <w:tcPr>
            <w:tcBorders/>
            <w:shd w:val="clear" w:color="auto" w:fill="auto"/>
            <w:vAlign w:val="center"/>
          </w:tcPr>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464648"/>
                <w:sz w:val="17"/>
              </w:rPr>
              <w:t xml:space="preserve">À PARTIR DE:</w:t>
            </w:r>
          </w:p>
        </w:tc>
        <w:tc>
          <w:tcPr>
            <w:tcBorders/>
            <w:shd w:val="clear" w:color="auto" w:fill="auto"/>
            <w:vAlign w:val="center"/>
          </w:tcPr>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464648"/>
                <w:sz w:val="17"/>
              </w:rPr>
              <w:t xml:space="preserve">Melanie Amie Egorin, secrétaire adjointe à la législation</w:t>
            </w:r>
          </w:p>
        </w:tc>
      </w:tr>
      <w:tr>
        <w:trPr>
          <w:trHeight w:val="677" w:hRule="exact"/>
        </w:trPr>
        <w:tc>
          <w:tcPr>
            <w:tcBorders/>
            <w:shd w:val="clear" w:color="auto" w:fill="auto"/>
            <w:vAlign w:val="top"/>
          </w:tcPr>
          <w:p>
            <w:pPr>
              <w:pStyle w:val="Style18"/>
              <w:keepNext w:val="0"/>
              <w:keepLines w:val="0"/>
              <w:widowControl w:val="0"/>
              <w:shd w:val="clear" w:color="auto" w:fill="auto"/>
              <w:spacing w:before="120" w:after="0" w:line="240" w:lineRule="auto"/>
              <w:ind w:left="0" w:right="0" w:firstLine="0"/>
              <w:jc w:val="left"/>
              <w:rPr>
                <w:sz w:val="17"/>
              </w:rPr>
            </w:pPr>
            <w:r>
              <w:rPr>
                <w:rStyle w:val="CharStyle19"/>
                <w:color w:val="464648"/>
                <w:sz w:val="17"/>
              </w:rPr>
              <w:t xml:space="preserve">OBJET :</w:t>
            </w:r>
          </w:p>
        </w:tc>
        <w:tc>
          <w:tcPr>
            <w:tcBorders/>
            <w:shd w:val="clear" w:color="auto" w:fill="auto"/>
            <w:vAlign w:val="center"/>
          </w:tcPr>
          <w:p>
            <w:pPr>
              <w:pStyle w:val="Style18"/>
              <w:keepNext w:val="0"/>
              <w:keepLines w:val="0"/>
              <w:widowControl w:val="0"/>
              <w:shd w:val="clear" w:color="auto" w:fill="auto"/>
              <w:spacing w:before="0" w:after="0" w:line="283" w:lineRule="auto"/>
              <w:ind w:left="0" w:right="0" w:firstLine="140"/>
              <w:jc w:val="left"/>
              <w:rPr>
                <w:sz w:val="17"/>
              </w:rPr>
            </w:pPr>
            <w:r>
              <w:rPr>
                <w:rStyle w:val="CharStyle19"/>
                <w:color w:val="464648"/>
                <w:sz w:val="17"/>
              </w:rPr>
              <w:t xml:space="preserve">Entrevue transcrite devant le sous-comité spécial de la Chambre sur la pandémie de coronavirus</w:t>
            </w:r>
          </w:p>
        </w:tc>
      </w:tr>
      <w:tr>
        <w:trPr>
          <w:trHeight w:val="326" w:hRule="exact"/>
        </w:trPr>
        <w:tc>
          <w:tcPr>
            <w:tcBorders/>
            <w:shd w:val="clear" w:color="auto" w:fill="auto"/>
            <w:vAlign w:val="bottom"/>
          </w:tcPr>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464648"/>
                <w:sz w:val="17"/>
              </w:rPr>
              <w:t xml:space="preserve">DATE :</w:t>
            </w:r>
          </w:p>
        </w:tc>
        <w:tc>
          <w:tcPr>
            <w:tcBorders/>
            <w:shd w:val="clear" w:color="auto" w:fill="auto"/>
            <w:vAlign w:val="bottom"/>
          </w:tcPr>
          <w:p>
            <w:pPr>
              <w:pStyle w:val="Style18"/>
              <w:keepNext w:val="0"/>
              <w:keepLines w:val="0"/>
              <w:widowControl w:val="0"/>
              <w:shd w:val="clear" w:color="auto" w:fill="auto"/>
              <w:spacing w:before="0" w:after="0" w:line="240" w:lineRule="auto"/>
              <w:ind w:left="0" w:right="0" w:firstLine="0"/>
              <w:jc w:val="left"/>
              <w:rPr>
                <w:sz w:val="17"/>
              </w:rPr>
            </w:pPr>
            <w:r>
              <w:rPr>
                <w:rStyle w:val="CharStyle19"/>
                <w:color w:val="303030"/>
                <w:sz w:val="17"/>
              </w:rPr>
              <w:t xml:space="preserve">28 décembre. 2023</w:t>
            </w:r>
          </w:p>
        </w:tc>
      </w:tr>
    </w:tbl>
    <w:p>
      <w:pPr>
        <w:widowControl w:val="0"/>
        <w:spacing w:after="719" w:line="1" w:lineRule="exact"/>
      </w:pPr>
    </w:p>
    <w:p>
      <w:pPr>
        <w:pStyle w:val="Style110"/>
        <w:keepNext w:val="0"/>
        <w:keepLines w:val="0"/>
        <w:widowControl w:val="0"/>
        <w:shd w:val="clear" w:color="auto" w:fill="auto"/>
        <w:spacing w:before="0" w:line="276" w:lineRule="auto"/>
        <w:ind w:right="0"/>
        <w:jc w:val="left"/>
      </w:pPr>
      <w:r>
        <w:rPr>
          <w:rStyle w:val="CharStyle111"/>
        </w:rPr>
        <w:t xml:space="preserve">Je crois comprendre que vous participerez à une entrevue transcrite le 29 décembre. 2023, conformément à une demande de la sous-commission spéciale de la Chambre des représentants sur la pandémie de coronavirus dans le cadre d’une lettre qui vous a été envoyée le 29 juin 2023 concernant certaines communications que vous avez effectuées à partir de comptes personnels. Le but de ce mémorandum est de vous fournir des conseils sur la mesure dans laquelle vous êtes autorisé à fournir des informations au sous-comité sélectionné en votre qualité d'employé des NIH.</w:t>
      </w:r>
    </w:p>
    <w:p>
      <w:pPr>
        <w:pStyle w:val="Style110"/>
        <w:keepNext w:val="0"/>
        <w:keepLines w:val="0"/>
        <w:widowControl w:val="0"/>
        <w:shd w:val="clear" w:color="auto" w:fill="auto"/>
        <w:spacing w:before="0" w:after="400" w:line="283" w:lineRule="auto"/>
        <w:ind w:right="0"/>
        <w:jc w:val="left"/>
      </w:pPr>
      <w:r>
        <w:rPr>
          <w:rStyle w:val="CharStyle111"/>
        </w:rPr>
        <w:t xml:space="preserve">Étant donné que l’objet des demandes du sous-comité restreint est axé sur les communications provenant de vos comptes personnels plutôt que de vos comptes officiels des NIH, le ministère de la santé et des services sociaux croit comprendre que vous ne fournirez pas d’informations sur votre travail pour le NIAID. Si vous avez des questions concernant la portée de votre autorisation de discuter d'informations relatives à votre travail officiel, veuillez consulter l'avocat de l'agence avant de divulguer ces informations au sous-comité sélectionné.</w:t>
      </w:r>
      <w:r>
        <w:br w:type="page"/>
      </w:r>
    </w:p>
    <w:p>
      <w:pPr>
        <w:pStyle w:val="Style24"/>
        <w:keepNext w:val="0"/>
        <w:keepLines w:val="0"/>
        <w:widowControl w:val="0"/>
        <w:shd w:val="clear" w:color="auto" w:fill="auto"/>
        <w:spacing w:before="0" w:after="240"/>
        <w:ind w:left="0" w:right="0" w:firstLine="740"/>
        <w:jc w:val="left"/>
      </w:pPr>
      <w:r>
        <w:rPr>
          <w:rStyle w:val="CharStyle25"/>
        </w:rPr>
        <w:t xml:space="preserve">Ces prétendues «lettres d’autorisation» ont non seulement entravé l’enquête du sous-comité restreint, mais sont également manifestement illégales. Lors de l'entrevue, l'avocat du HHS a tenté de persuader le sous-comité spécial que la lettre au Dr Morens n'était pas de nature directive ou obligatoire, mais a tout de même demandé au Dr Morens de ne pas répondre aux questions. Enjoindre à un employé du gouvernement fédéral de ne pas se conformer au Congrès est inacceptable et illégal.</w:t>
      </w:r>
    </w:p>
    <w:tbl>
      <w:tblPr>
        <w:tblOverlap w:val="never"/>
        <w:jc w:val="center"/>
        <w:tblLayout w:type="fixed"/>
      </w:tblPr>
      <w:tblGrid>
        <w:gridCol w:w="1843"/>
        <w:gridCol w:w="5602"/>
      </w:tblGrid>
      <w:tr>
        <w:trPr>
          <w:trHeight w:val="293"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David Morens (29 décembre 2023)</w:t>
            </w:r>
          </w:p>
        </w:tc>
      </w:tr>
      <w:tr>
        <w:trPr>
          <w:trHeight w:val="1810" w:hRule="exact"/>
        </w:trPr>
        <w:tc>
          <w:tcPr>
            <w:tcBorders>
              <w:top w:val="single" w:sz="4"/>
              <w:left w:val="single" w:sz="4"/>
            </w:tcBorders>
            <w:shd w:val="clear" w:color="auto" w:fill="D9E9F8"/>
            <w:vAlign w:val="top"/>
          </w:tcPr>
          <w:p>
            <w:pPr>
              <w:pStyle w:val="Style18"/>
              <w:keepNext w:val="0"/>
              <w:keepLines w:val="0"/>
              <w:widowControl w:val="0"/>
              <w:shd w:val="clear" w:color="auto" w:fill="auto"/>
              <w:spacing w:before="30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64" w:lineRule="auto"/>
              <w:ind w:left="440" w:right="0" w:firstLine="0"/>
              <w:jc w:val="both"/>
            </w:pPr>
            <w:r>
              <w:rPr>
                <w:rStyle w:val="CharStyle19"/>
              </w:rPr>
              <w:t xml:space="preserve">Merci. Dr Morens, avant d'entrer dans la substance hier soir, je présume que vous, Tim, et nous avons reçu une note d'autorisation du secrétaire adjoint HHS Egorin. J'aimerais présenter cela à titre de pièce 1.</w:t>
            </w:r>
          </w:p>
        </w:tc>
      </w:tr>
      <w:tr>
        <w:trPr>
          <w:trHeight w:val="571"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 xml:space="preserve">Conseil du HHS.</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left"/>
            </w:pPr>
            <w:r>
              <w:rPr>
                <w:rStyle w:val="CharStyle19"/>
              </w:rPr>
              <w:t xml:space="preserve">Avez-vous des copies pour le personnel de l'Agence?</w:t>
            </w:r>
          </w:p>
        </w:tc>
      </w:tr>
      <w:tr>
        <w:trPr>
          <w:trHeight w:val="54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left"/>
            </w:pPr>
            <w:r>
              <w:rPr>
                <w:rStyle w:val="CharStyle19"/>
              </w:rPr>
              <w:t xml:space="preserve">J'attendrai qu'il se déplace.</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left"/>
            </w:pPr>
            <w:r>
              <w:rPr>
                <w:rStyle w:val="CharStyle19"/>
              </w:rPr>
              <w:t xml:space="preserve">Avez-vous reçu ce mémo hier soir?</w:t>
            </w:r>
          </w:p>
        </w:tc>
      </w:tr>
      <w:tr>
        <w:trPr>
          <w:trHeight w:val="533"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 xml:space="preserve">Le Dr Morens.</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both"/>
            </w:pPr>
            <w:r>
              <w:rPr>
                <w:rStyle w:val="CharStyle19"/>
              </w:rPr>
              <w:t xml:space="preserve">Je l'ai fait.</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both"/>
            </w:pPr>
            <w:r>
              <w:rPr>
                <w:rStyle w:val="CharStyle19"/>
              </w:rPr>
              <w:t xml:space="preserve">L'avocat a-t-il reçu cette note hier soir?</w:t>
            </w:r>
          </w:p>
        </w:tc>
      </w:tr>
      <w:tr>
        <w:trPr>
          <w:trHeight w:val="54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 xml:space="preserve">M. Belevetz.</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both"/>
            </w:pPr>
            <w:r>
              <w:rPr>
                <w:rStyle w:val="CharStyle19"/>
              </w:rPr>
              <w:t>Oui.</w:t>
            </w:r>
          </w:p>
        </w:tc>
      </w:tr>
      <w:tr>
        <w:trPr>
          <w:trHeight w:val="5395"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bottom"/>
          </w:tcPr>
          <w:p>
            <w:pPr>
              <w:pStyle w:val="Style18"/>
              <w:keepNext w:val="0"/>
              <w:keepLines w:val="0"/>
              <w:widowControl w:val="0"/>
              <w:shd w:val="clear" w:color="auto" w:fill="auto"/>
              <w:spacing w:before="0" w:after="0"/>
              <w:ind w:left="440" w:right="0" w:firstLine="0"/>
              <w:jc w:val="both"/>
            </w:pPr>
            <w:r>
              <w:rPr>
                <w:rStyle w:val="CharStyle19"/>
              </w:rPr>
              <w:t xml:space="preserve">Je tiens à préciser que le sous-comité restreint n'a pas accepté et n'accepte pas les modalités de la présente note. Malgré cela, le paragraphe du dispositif se lit comme suit: «Étant donné que le sujet des demandes du sous-comité spécial est centré sur les communications de vos comptes personnels, plutôt que officiels des NIH, le ministère de la Santé et des Services sociaux comprend que vous ne fournirez pas d'informations sur votre travail pour le NIAID. Si vous avez des questions concernant la portée de votre autorisation de discuter d'informations relatives à votre travail officiel, veuillez consulter l'avocat de l'agence avant de divulguer ces informations au sous-comité restreint. » La prémisse selon laquelle l'enquête du sous-comité restreint implique uniquement votre utilisation de courriels personnels est fausse. La lettre qui vous a été envoyée par le président Wenstrup cite en fait des courriels envoyés à partir de votre courriel officiel et d’autres documents par lesquels vous avez connaissance de la COVID-19.</w:t>
            </w:r>
          </w:p>
        </w:tc>
      </w:tr>
    </w:tbl>
    <w:p>
      <w:pPr>
        <w:widowControl w:val="0"/>
        <w:spacing w:line="1" w:lineRule="exact"/>
      </w:pPr>
      <w:r>
        <w:br w:type="page"/>
      </w:r>
    </w:p>
    <w:tbl>
      <w:tblPr>
        <w:tblOverlap w:val="never"/>
        <w:jc w:val="center"/>
        <w:tblLayout w:type="fixed"/>
      </w:tblPr>
      <w:tblGrid>
        <w:gridCol w:w="1843"/>
        <w:gridCol w:w="5602"/>
      </w:tblGrid>
      <w:tr>
        <w:trPr>
          <w:trHeight w:val="1824" w:hRule="exact"/>
        </w:trPr>
        <w:tc>
          <w:tcPr>
            <w:tcBorders>
              <w:left w:val="single" w:sz="4"/>
            </w:tcBorders>
            <w:shd w:val="clear" w:color="auto" w:fill="D9E9F8"/>
            <w:vAlign w:val="top"/>
          </w:tcPr>
          <w:p>
            <w:pPr>
              <w:widowControl w:val="0"/>
              <w:rPr>
                <w:sz w:val="10"/>
              </w:rPr>
            </w:pPr>
          </w:p>
        </w:tc>
        <w:tc>
          <w:tcPr>
            <w:tcBorders>
              <w:right w:val="single" w:sz="4"/>
            </w:tcBorders>
            <w:shd w:val="clear" w:color="auto" w:fill="D9E9F8"/>
            <w:vAlign w:val="top"/>
          </w:tcPr>
          <w:p>
            <w:pPr>
              <w:pStyle w:val="Style18"/>
              <w:keepNext w:val="0"/>
              <w:keepLines w:val="0"/>
              <w:widowControl w:val="0"/>
              <w:shd w:val="clear" w:color="auto" w:fill="auto"/>
              <w:spacing w:before="0" w:after="0"/>
              <w:ind w:left="440" w:right="0" w:firstLine="0"/>
              <w:jc w:val="both"/>
            </w:pPr>
            <w:r>
              <w:rPr>
                <w:rStyle w:val="CharStyle19"/>
              </w:rPr>
              <w:t xml:space="preserve">origines. Le ministère le sait. Deuxièmement, le ministère ne peut pas vous empêcher de fournir des témoignages concernant votre travail officiel au NIAID ou sur les origines de la COVID-19. La décision quant au témoignage que vous donnez n'appartient qu'à vous. Le Ministère le sait aussi.</w:t>
            </w:r>
          </w:p>
        </w:tc>
      </w:tr>
      <w:tr>
        <w:trPr>
          <w:trHeight w:val="538"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440"/>
              <w:jc w:val="left"/>
            </w:pPr>
            <w:r>
              <w:rPr>
                <w:rStyle w:val="CharStyle19"/>
              </w:rPr>
              <w:t xml:space="preserve">J'aimerais présenter la pièce 2 de la majorité.</w:t>
            </w:r>
          </w:p>
        </w:tc>
      </w:tr>
      <w:tr>
        <w:trPr>
          <w:trHeight w:val="3605"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440" w:right="0" w:firstLine="0"/>
              <w:jc w:val="both"/>
            </w:pPr>
            <w:r>
              <w:rPr>
                <w:rStyle w:val="CharStyle19"/>
              </w:rPr>
              <w:t xml:space="preserve">Pendant qu'il fait son chemin, je vais l'identifier. En bas à droite de la deuxième colonne, il s'agit du titre 5, section 7211 du code des États-Unis. Il se lit comme suit: "Le droit des employés, individuellement ou collectivement, de pétitionner le Congrès ou un membre du Congrès, ou de fournir des informations à l'une ou l'autre Chambre du Congrès, ou à un comité ou un membre de celui-ci, ne peut être interféré ou refusé." Dr Morens, la note d'autorisation du Département tente d'entraver ce comité et tente d'interférer avec votre droit légal de fournir des informations au Congrès.</w:t>
            </w:r>
          </w:p>
        </w:tc>
      </w:tr>
      <w:tr>
        <w:trPr>
          <w:trHeight w:val="806"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 xml:space="preserve">Conseil du HHS.</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440" w:right="0" w:firstLine="0"/>
              <w:jc w:val="both"/>
            </w:pPr>
            <w:r>
              <w:rPr>
                <w:rStyle w:val="CharStyle19"/>
              </w:rPr>
              <w:t xml:space="preserve">Mitch, je vais m'opposer à votre caractérisation du mémo d'autorisation.</w:t>
            </w:r>
          </w:p>
        </w:tc>
      </w:tr>
      <w:tr>
        <w:trPr>
          <w:trHeight w:val="446" w:hRule="exact"/>
        </w:trPr>
        <w:tc>
          <w:tcPr>
            <w:tcBorders>
              <w:left w:val="single" w:sz="4"/>
              <w:bottom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440"/>
              <w:jc w:val="both"/>
            </w:pPr>
            <w:r>
              <w:rPr>
                <w:rStyle w:val="CharStyle19"/>
              </w:rPr>
              <w:t xml:space="preserve">C'est très bien.</w:t>
            </w:r>
            <w:r>
              <w:rPr>
                <w:rStyle w:val="CharStyle19"/>
                <w:vertAlign w:val="superscript"/>
              </w:rPr>
              <w:t>1800</w:t>
            </w:r>
          </w:p>
        </w:tc>
      </w:tr>
    </w:tbl>
    <w:p>
      <w:pPr>
        <w:widowControl w:val="0"/>
        <w:spacing w:after="259" w:line="1" w:lineRule="exact"/>
      </w:pPr>
    </w:p>
    <w:p>
      <w:pPr>
        <w:widowControl w:val="0"/>
        <w:spacing w:line="1" w:lineRule="exact"/>
      </w:pPr>
    </w:p>
    <w:tbl>
      <w:tblPr>
        <w:tblOverlap w:val="never"/>
        <w:jc w:val="left"/>
        <w:tblLayout w:type="fixed"/>
      </w:tblPr>
      <w:tblGrid>
        <w:gridCol w:w="1853"/>
        <w:gridCol w:w="5592"/>
      </w:tblGrid>
      <w:tr>
        <w:trPr>
          <w:trHeight w:val="293"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David Morens (29 décembre 2023)</w:t>
            </w:r>
          </w:p>
        </w:tc>
      </w:tr>
      <w:tr>
        <w:trPr>
          <w:trHeight w:val="1834" w:hRule="exact"/>
        </w:trPr>
        <w:tc>
          <w:tcPr>
            <w:tcBorders>
              <w:top w:val="single" w:sz="4"/>
              <w:left w:val="single" w:sz="4"/>
            </w:tcBorders>
            <w:shd w:val="clear" w:color="auto" w:fill="D9E9F8"/>
            <w:vAlign w:val="top"/>
          </w:tcPr>
          <w:p>
            <w:pPr>
              <w:pStyle w:val="Style18"/>
              <w:keepNext w:val="0"/>
              <w:keepLines w:val="0"/>
              <w:widowControl w:val="0"/>
              <w:shd w:val="clear" w:color="auto" w:fill="auto"/>
              <w:spacing w:before="30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64" w:lineRule="auto"/>
              <w:ind w:left="420" w:right="0" w:firstLine="0"/>
              <w:jc w:val="left"/>
            </w:pPr>
            <w:r>
              <w:rPr>
                <w:rStyle w:val="CharStyle19"/>
              </w:rPr>
              <w:t xml:space="preserve">Si c'est juridiquement contraignant pour le Dr Morens, c'est un crime. Donc, il est soit consultatif et il peut répondre à toutes les questions que nous lui posons, ou HHS prend la position que vous pouvez interférer avec la capacité d'un employé à parler au Congrès.</w:t>
            </w:r>
          </w:p>
        </w:tc>
      </w:tr>
      <w:tr>
        <w:trPr>
          <w:trHeight w:val="1032"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 xml:space="preserve">Conseil du HHS.</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76" w:lineRule="auto"/>
              <w:ind w:left="420" w:right="0" w:firstLine="0"/>
              <w:jc w:val="left"/>
            </w:pPr>
            <w:r>
              <w:rPr>
                <w:rStyle w:val="CharStyle19"/>
              </w:rPr>
              <w:t xml:space="preserve">HHS ne prend pas la position que nous pouvons interférer avec la capacité d'un employé à parler au Congrès.</w:t>
            </w:r>
          </w:p>
        </w:tc>
      </w:tr>
      <w:tr>
        <w:trPr>
          <w:trHeight w:val="979"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bottom"/>
          </w:tcPr>
          <w:p>
            <w:pPr>
              <w:pStyle w:val="Style18"/>
              <w:keepNext w:val="0"/>
              <w:keepLines w:val="0"/>
              <w:widowControl w:val="0"/>
              <w:shd w:val="clear" w:color="auto" w:fill="auto"/>
              <w:spacing w:before="0" w:after="0" w:line="276" w:lineRule="auto"/>
              <w:ind w:left="420" w:right="0" w:firstLine="0"/>
              <w:jc w:val="left"/>
            </w:pPr>
            <w:r>
              <w:rPr>
                <w:rStyle w:val="CharStyle19"/>
              </w:rPr>
              <w:t xml:space="preserve">Donc, la portée de cette autorisation est, je suppose, un avis au Dr Morens?</w:t>
            </w:r>
          </w:p>
        </w:tc>
      </w:tr>
      <w:tr>
        <w:trPr>
          <w:trHeight w:val="682" w:hRule="exact"/>
        </w:trPr>
        <w:tc>
          <w:tcPr>
            <w:tcBorders>
              <w:left w:val="single" w:sz="4"/>
            </w:tcBorders>
            <w:shd w:val="clear" w:color="auto" w:fill="D9E9F8"/>
            <w:vAlign w:val="top"/>
          </w:tcPr>
          <w:p>
            <w:pPr>
              <w:pStyle w:val="Style18"/>
              <w:keepNext w:val="0"/>
              <w:keepLines w:val="0"/>
              <w:widowControl w:val="0"/>
              <w:shd w:val="clear" w:color="auto" w:fill="auto"/>
              <w:spacing w:before="80" w:after="0" w:line="240" w:lineRule="auto"/>
              <w:ind w:left="0" w:right="0" w:firstLine="0"/>
              <w:jc w:val="left"/>
            </w:pPr>
            <w:r>
              <w:rPr>
                <w:rStyle w:val="CharStyle19"/>
              </w:rPr>
              <w:t xml:space="preserve">Conseil du HHS.</w:t>
            </w:r>
          </w:p>
        </w:tc>
        <w:tc>
          <w:tcPr>
            <w:tcBorders>
              <w:right w:val="single" w:sz="4"/>
            </w:tcBorders>
            <w:shd w:val="clear" w:color="auto" w:fill="D9E9F8"/>
            <w:vAlign w:val="bottom"/>
          </w:tcPr>
          <w:p>
            <w:pPr>
              <w:pStyle w:val="Style18"/>
              <w:keepNext w:val="0"/>
              <w:keepLines w:val="0"/>
              <w:widowControl w:val="0"/>
              <w:shd w:val="clear" w:color="auto" w:fill="auto"/>
              <w:spacing w:before="0" w:after="0" w:line="276" w:lineRule="auto"/>
              <w:ind w:left="420" w:right="0" w:firstLine="0"/>
              <w:jc w:val="left"/>
            </w:pPr>
            <w:r>
              <w:rPr>
                <w:rStyle w:val="CharStyle19"/>
              </w:rPr>
              <w:t xml:space="preserve">John, dans la note elle-même, il est dit: «Le but de cette note est de vous fournir des conseils</w:t>
            </w:r>
          </w:p>
        </w:tc>
      </w:tr>
    </w:tbl>
    <w:p>
      <w:pPr>
        <w:pStyle w:val="Style65"/>
        <w:keepNext w:val="0"/>
        <w:keepLines w:val="0"/>
        <w:widowControl w:val="0"/>
        <w:shd w:val="clear" w:color="auto" w:fill="auto"/>
        <w:spacing w:before="0" w:after="0" w:line="240" w:lineRule="auto"/>
        <w:ind w:left="0" w:right="0" w:firstLine="0"/>
        <w:jc w:val="left"/>
        <w:rPr>
          <w:sz w:val="20"/>
        </w:rPr>
      </w:pPr>
      <w:r>
        <w:rPr>
          <w:rStyle w:val="CharStyle66"/>
          <w:sz w:val="20"/>
          <w:u w:val="none"/>
          <w:vertAlign w:val="superscript"/>
        </w:rPr>
        <w:t>1800</w:t>
      </w:r>
      <w:r>
        <w:rPr>
          <w:rStyle w:val="CharStyle66"/>
          <w:sz w:val="20"/>
          <w:u w:val="none"/>
        </w:rPr>
        <w:t xml:space="preserve"> Morens TI 1, à 10-11.</w:t>
      </w:r>
    </w:p>
    <w:p>
      <w:pPr>
        <w:pStyle w:val="Style24"/>
        <w:keepNext w:val="0"/>
        <w:keepLines w:val="0"/>
        <w:widowControl w:val="0"/>
        <w:pBdr>
          <w:top w:val="single" w:sz="0" w:space="13" w:color="D9E9F8"/>
          <w:left w:val="single" w:sz="0" w:space="31" w:color="D9E9F8"/>
          <w:bottom w:val="single" w:sz="0" w:space="0" w:color="D9E9F8"/>
          <w:right w:val="single" w:sz="0" w:space="31" w:color="D9E9F8"/>
        </w:pBdr>
        <w:shd w:val="clear" w:color="auto" w:fill="D9E9F8"/>
        <w:spacing w:before="0" w:after="140" w:line="283" w:lineRule="auto"/>
        <w:ind w:left="2900" w:right="0" w:firstLine="0"/>
        <w:jc w:val="left"/>
      </w:pPr>
      <w:r>
        <w:rPr>
          <w:rStyle w:val="CharStyle25"/>
        </w:rPr>
        <w:t xml:space="preserve">la mesure dans laquelle vous êtes autorisé à fournir des renseignements au sous-comité restreint en votre qualité d'employé des NIH. » C'est l'objet du mémorandum.</w:t>
      </w:r>
    </w:p>
    <w:p>
      <w:pPr>
        <w:pStyle w:val="Style24"/>
        <w:keepNext w:val="0"/>
        <w:keepLines w:val="0"/>
        <w:widowControl w:val="0"/>
        <w:pBdr>
          <w:top w:val="single" w:sz="0" w:space="0" w:color="D9E9F8"/>
          <w:left w:val="single" w:sz="0" w:space="31" w:color="D9E9F8"/>
          <w:bottom w:val="single" w:sz="0" w:space="0" w:color="D9E9F8"/>
          <w:right w:val="single" w:sz="0" w:space="31" w:color="D9E9F8"/>
        </w:pBdr>
        <w:shd w:val="clear" w:color="auto" w:fill="D9E9F8"/>
        <w:tabs>
          <w:tab w:pos="2900" w:val="left"/>
        </w:tabs>
        <w:spacing w:before="0" w:after="0" w:line="283" w:lineRule="auto"/>
        <w:ind w:left="0" w:right="0" w:firstLine="740"/>
        <w:jc w:val="both"/>
      </w:pPr>
      <w:r>
        <w:rPr>
          <w:rStyle w:val="CharStyle25"/>
        </w:rPr>
        <w:t>Q.</w:t>
        <w:tab/>
        <w:t xml:space="preserve">«Si vous avez des questions concernant la portée de</w:t>
      </w:r>
    </w:p>
    <w:p>
      <w:pPr>
        <w:pStyle w:val="Style24"/>
        <w:keepNext w:val="0"/>
        <w:keepLines w:val="0"/>
        <w:widowControl w:val="0"/>
        <w:pBdr>
          <w:top w:val="single" w:sz="0" w:space="0" w:color="D9E9F8"/>
          <w:left w:val="single" w:sz="0" w:space="31" w:color="D9E9F8"/>
          <w:bottom w:val="single" w:sz="0" w:space="0" w:color="D9E9F8"/>
          <w:right w:val="single" w:sz="0" w:space="31" w:color="D9E9F8"/>
        </w:pBdr>
        <w:shd w:val="clear" w:color="auto" w:fill="D9E9F8"/>
        <w:spacing w:before="0" w:after="0" w:line="283" w:lineRule="auto"/>
        <w:ind w:left="2900" w:right="0" w:firstLine="0"/>
        <w:jc w:val="both"/>
      </w:pPr>
      <w:r>
        <w:rPr>
          <w:rStyle w:val="CharStyle25"/>
        </w:rPr>
        <w:t xml:space="preserve">Si vous avez l'autorisation de discuter d'informations relatives à votre travail officiel, veuillez consulter l'avocat de l'agence avant de divulguer ces informations au sous-comité restreint. » Cela semble obligatoire. Et je suppose que la préoccupation est particulièrement aiguë avec le Dr Morens, parce que les précédents ont plus ou moins été dans le cadre de, comme, les lettres de février. Mais avec le Dr Morens, nous avons malheureusement la situation où il n'est pas en mesure d'être représenté par un avocat de l'agence, mais il a retenu les services d'un avocat sur son propre compte, donc il y a une divergence d'intérêts juridiques entre le Dr Morens et le ministère. Je pourrais également ajouter que c'est le ministère qui statuera sur la NARA, c'est-à-dire sur les questions de conservation des documents. Et donc l'impression que ce mémo donne est que vous l'empêchez essentiellement de parler à des choses qui sont pertinentes pour l'enquête sur les origines uniquement pour lui. Mais vous avez aussi un degré unique d'influence sur lui parce qu'il fait l'objet d'une enquête, comme tout ce que je ne connais pas la probabilité de cela, mais, techniquement, il risque d'être séparé du service fédéral, il risque d'avoir des parties de sa pension confisquées pour ces violations. Ce sont des jugements de, comme, OGC HHS vont être impliqués dans la fabrication. Et vous lui dites maintenant, vous ne pouvez pas parler de votre travail officiel au NIAID quand tous les autres employés du NIAID avec qui nous avons fait un entretien volontaire ont été autorisés à en parler.</w:t>
      </w:r>
    </w:p>
    <w:p>
      <w:pPr>
        <w:pStyle w:val="Style24"/>
        <w:keepNext w:val="0"/>
        <w:keepLines w:val="0"/>
        <w:widowControl w:val="0"/>
        <w:pBdr>
          <w:top w:val="single" w:sz="0" w:space="13" w:color="D9E9F8"/>
          <w:left w:val="single" w:sz="0" w:space="31" w:color="D9E9F8"/>
          <w:bottom w:val="single" w:sz="0" w:space="0" w:color="D9E9F8"/>
          <w:right w:val="single" w:sz="0" w:space="31" w:color="D9E9F8"/>
        </w:pBdr>
        <w:shd w:val="clear" w:color="auto" w:fill="D9E9F8"/>
        <w:spacing w:before="0" w:after="140" w:line="283" w:lineRule="auto"/>
        <w:ind w:left="2900" w:right="0" w:hanging="2160"/>
        <w:jc w:val="left"/>
      </w:pPr>
      <w:r>
        <w:rPr>
          <w:rStyle w:val="CharStyle25"/>
        </w:rPr>
        <w:t xml:space="preserve">Conseil du HHS. John, ce mémorandum est distinct et distinct de tout processus interne de personnel qui pourrait se produire. Pour être clair, il n'y a aucune sorte de contrainte ou de menace qu'il y aura des conséquences négatives sur l'emploi s'il ne respecte pas les termes de celui-ci. Ce n'est pas le cas.</w:t>
      </w:r>
    </w:p>
    <w:p>
      <w:pPr>
        <w:pStyle w:val="Style24"/>
        <w:keepNext w:val="0"/>
        <w:keepLines w:val="0"/>
        <w:widowControl w:val="0"/>
        <w:shd w:val="clear" w:color="auto" w:fill="auto"/>
        <w:spacing w:before="0" w:after="140" w:line="288" w:lineRule="auto"/>
        <w:ind w:left="2900" w:right="0" w:hanging="1180"/>
        <w:jc w:val="left"/>
      </w:pPr>
      <w:r>
        <mc:AlternateContent>
          <mc:Choice Requires="wps">
            <w:drawing>
              <wp:anchor distT="0" distB="0" distL="114300" distR="114300" simplePos="0" relativeHeight="125829446" behindDoc="0" locked="0" layoutInCell="1" allowOverlap="1">
                <wp:simplePos x="0" y="0"/>
                <wp:positionH relativeFrom="page">
                  <wp:posOffset>1487805</wp:posOffset>
                </wp:positionH>
                <wp:positionV relativeFrom="paragraph">
                  <wp:posOffset>12700</wp:posOffset>
                </wp:positionV>
                <wp:extent cx="173990" cy="179705"/>
                <wp:wrapSquare wrapText="right"/>
                <wp:docPr id="131" name="Forme 131"/>
                <a:graphic xmlns:a="http://schemas.openxmlformats.org/drawingml/2006/main">
                  <a:graphicData uri="http://schemas.microsoft.com/office/word/2010/wordprocessingShape">
                    <wps:wsp>
                      <wps:cNvSpPr txBox="1"/>
                      <wps:spPr>
                        <a:xfrm>
                          <a:ext cx="173990" cy="179705"/>
                        </a:xfrm>
                        <a:prstGeom prst="rect"/>
                        <a:noFill/>
                      </wps:spPr>
                      <wps:txbx>
                        <w:txbxContent>
                          <w:p>
                            <w:pPr>
                              <w:pStyle w:val="Style24"/>
                              <w:keepNext w:val="0"/>
                              <w:keepLines w:val="0"/>
                              <w:widowControl w:val="0"/>
                              <w:shd w:val="clear" w:color="auto" w:fill="auto"/>
                              <w:spacing w:before="0" w:after="0" w:line="240" w:lineRule="auto"/>
                              <w:ind w:left="0" w:right="0" w:firstLine="0"/>
                              <w:jc w:val="left"/>
                            </w:pPr>
                            <w:r>
                              <w:rPr>
                                <w:rStyle w:val="CharStyle25"/>
                              </w:rPr>
                              <w:t>Q.</w:t>
                            </w:r>
                          </w:p>
                        </w:txbxContent>
                      </wps:txbx>
                      <wps:bodyPr wrap="none" lIns="0" tIns="0" rIns="0" bIns="0">
                        <a:noAutoFit/>
                      </wps:bodyPr>
                    </wps:wsp>
                  </a:graphicData>
                </a:graphic>
              </wp:anchor>
            </w:drawing>
          </mc:Choice>
        </mc:AlternateContent>
      </w:r>
      <w:r>
        <w:rPr>
          <w:rStyle w:val="CharStyle25"/>
        </w:rPr>
        <w:t xml:space="preserve">Donc c'est purement consultatif? On peut lui poser des questions comme tous les autres officiels du NIAID?</w:t>
      </w:r>
    </w:p>
    <w:p>
      <w:pPr>
        <w:pStyle w:val="Style24"/>
        <w:keepNext w:val="0"/>
        <w:keepLines w:val="0"/>
        <w:widowControl w:val="0"/>
        <w:shd w:val="clear" w:color="auto" w:fill="auto"/>
        <w:spacing w:before="0" w:after="180" w:line="276" w:lineRule="auto"/>
        <w:ind w:left="2900" w:right="0" w:hanging="2160"/>
        <w:jc w:val="left"/>
      </w:pPr>
      <w:r>
        <w:rPr>
          <w:rStyle w:val="CharStyle25"/>
        </w:rPr>
        <w:t xml:space="preserve">Conseil du HHS. Vous pouvez lui poser des questions comme n'importe quel autre fonctionnaire du NIAID. Nous lui demanderons de limiter ses réponses à ses activités personnelles et non officielles. En tant que témoin, il est libre de répondre comme bon lui semble. </w:t>
        <w:footnoteReference w:id="348"/>
      </w:r>
    </w:p>
    <w:p>
      <w:pPr>
        <w:pStyle w:val="Style24"/>
        <w:keepNext w:val="0"/>
        <w:keepLines w:val="0"/>
        <w:widowControl w:val="0"/>
        <w:shd w:val="clear" w:color="auto" w:fill="auto"/>
        <w:spacing w:before="0" w:after="240"/>
        <w:ind w:left="0" w:right="0" w:firstLine="740"/>
        <w:jc w:val="left"/>
      </w:pPr>
      <w:r>
        <w:rPr>
          <w:rStyle w:val="CharStyle25"/>
        </w:rPr>
        <w:t xml:space="preserve">Malgré la position de HHS selon laquelle le Dr Morens était libre de répondre aux questions indépendamment des instructions contraires, le Dr Morens a interprété ces instructions comme contraignantes et a informé le sous-comité restreint qu’il ne répondrait pas aux questions si elles lui étaient demandées.</w:t>
        <w:footnoteReference w:id="349"/>
      </w:r>
    </w:p>
    <w:p>
      <w:pPr>
        <w:pStyle w:val="Style24"/>
        <w:keepNext w:val="0"/>
        <w:keepLines w:val="0"/>
        <w:widowControl w:val="0"/>
        <w:shd w:val="clear" w:color="auto" w:fill="auto"/>
        <w:spacing w:before="0" w:after="180" w:line="264" w:lineRule="auto"/>
        <w:ind w:left="0" w:right="0" w:firstLine="740"/>
        <w:jc w:val="left"/>
      </w:pPr>
      <w:r>
        <w:rPr>
          <w:rStyle w:val="CharStyle25"/>
        </w:rPr>
        <w:t xml:space="preserve">En résumé, au cours de deux années d'interaction avec le sous-comité HHS s'est avéré être complètement malhonnête, peu fiable et lâche dans la réponse aux demandes de surveillance.</w:t>
      </w:r>
    </w:p>
    <w:p>
      <w:pPr>
        <w:pStyle w:val="Style24"/>
        <w:keepNext w:val="0"/>
        <w:keepLines w:val="0"/>
        <w:widowControl w:val="0"/>
        <w:numPr>
          <w:ilvl w:val="0"/>
          <w:numId w:val="9"/>
        </w:numPr>
        <w:shd w:val="clear" w:color="auto" w:fill="auto"/>
        <w:tabs>
          <w:tab w:pos="714" w:val="left"/>
        </w:tabs>
        <w:spacing w:before="0" w:after="320" w:line="264" w:lineRule="auto"/>
        <w:ind w:left="740" w:right="0" w:hanging="740"/>
        <w:jc w:val="left"/>
      </w:pPr>
      <w:r>
        <w:rPr>
          <w:rStyle w:val="CharStyle25"/>
        </w:rPr>
        <w:t xml:space="preserve">EcoHealth Alliance, Inc. et le Dr Peter Daszak ont entravé l’enquête du sous-comité restreint et induit le public en erreur</w:t>
      </w:r>
    </w:p>
    <w:p>
      <w:pPr>
        <w:pStyle w:val="Style24"/>
        <w:keepNext w:val="0"/>
        <w:keepLines w:val="0"/>
        <w:widowControl w:val="0"/>
        <w:shd w:val="clear" w:color="auto" w:fill="auto"/>
        <w:tabs>
          <w:tab w:pos="1373" w:val="left"/>
        </w:tabs>
        <w:spacing w:before="0" w:after="320" w:line="240" w:lineRule="auto"/>
        <w:ind w:left="0" w:right="0" w:firstLine="0"/>
        <w:jc w:val="left"/>
      </w:pPr>
      <w:r>
        <w:rPr>
          <w:rStyle w:val="CharStyle25"/>
        </w:rPr>
        <w:t xml:space="preserve">CONSTATATION :</w:t>
        <w:tab/>
        <w:t xml:space="preserve">EcoHealth Alliance, Inc. a fait obstruction à une enquête du Congrès</w:t>
      </w:r>
    </w:p>
    <w:p>
      <w:pPr>
        <w:pStyle w:val="Style24"/>
        <w:keepNext w:val="0"/>
        <w:keepLines w:val="0"/>
        <w:widowControl w:val="0"/>
        <w:shd w:val="clear" w:color="auto" w:fill="auto"/>
        <w:spacing w:before="0" w:after="240"/>
        <w:ind w:left="0" w:right="0" w:firstLine="740"/>
        <w:jc w:val="left"/>
      </w:pPr>
      <w:r>
        <w:rPr>
          <w:rStyle w:val="CharStyle25"/>
        </w:rPr>
        <w:t xml:space="preserve">Le 13 février 20223, le sous-comité restreint a d'abord demandé des documents au Dr Daszak et à EcoHealth.</w:t>
        <w:footnoteReference w:id="350"/>
        <w:t xml:space="preserve"> Depuis lors, le Dr Daszak a tenté d’entraver l’enquête du sous-comité restreint. Peut-être le plus illustratif de cela est que, selon le Dr Daszak, son objectif de l’audition publique du 1er mai 2024 devant la sous-commission sélective était de «répondre d’une manière qui minimise autant que possible les dommages causés à l’EHA». Ce n’est manifestement pas la même chose que de dire la vérité.</w:t>
      </w:r>
    </w:p>
    <w:p>
      <w:pPr>
        <w:pStyle w:val="Style24"/>
        <w:keepNext w:val="0"/>
        <w:keepLines w:val="0"/>
        <w:widowControl w:val="0"/>
        <w:shd w:val="clear" w:color="auto" w:fill="auto"/>
        <w:spacing w:before="0" w:after="240"/>
        <w:ind w:left="0" w:right="0" w:firstLine="740"/>
        <w:jc w:val="left"/>
      </w:pPr>
      <w:r>
        <w:rPr>
          <w:rStyle w:val="CharStyle25"/>
        </w:rPr>
        <w:t xml:space="preserve">Voici quelques exemples d’obstruction du Dr Daszak et d’EcoHealth:</w:t>
      </w:r>
    </w:p>
    <w:p>
      <w:pPr>
        <w:pStyle w:val="Style24"/>
        <w:keepNext w:val="0"/>
        <w:keepLines w:val="0"/>
        <w:widowControl w:val="0"/>
        <w:numPr>
          <w:ilvl w:val="0"/>
          <w:numId w:val="11"/>
        </w:numPr>
        <w:shd w:val="clear" w:color="auto" w:fill="auto"/>
        <w:tabs>
          <w:tab w:pos="714" w:val="left"/>
        </w:tabs>
        <w:spacing w:before="0" w:after="360"/>
        <w:ind w:left="740" w:right="0" w:hanging="360"/>
        <w:jc w:val="left"/>
      </w:pPr>
      <w:r>
        <w:rPr>
          <w:rStyle w:val="CharStyle25"/>
        </w:rPr>
        <w:t xml:space="preserve">À titre préliminaire, avant que le Sous-comité spécial n'intervienne, M. Daszak cherchait, recueillait et produisait lui-même des documents et des communications.</w:t>
        <w:footnoteReference w:id="351"/>
        <w:t xml:space="preserve"> Cela donne l'occasion au sujet d'une enquête de supprimer, d'ignorer ou de modifier des éléments de preuve. Cela est tout à fait inapproprié. Comme on l'a vu, le Sous-comité spécial a la preuve que le Dr Daszak a fait, en fait, des documents médicaux qu'il a rendus publics.</w:t>
      </w:r>
    </w:p>
    <w:p>
      <w:pPr>
        <w:pStyle w:val="Style57"/>
        <w:keepNext w:val="0"/>
        <w:keepLines w:val="0"/>
        <w:widowControl w:val="0"/>
        <w:shd w:val="clear" w:color="auto" w:fill="auto"/>
        <w:spacing w:before="0" w:after="60" w:line="240" w:lineRule="auto"/>
        <w:ind w:left="0" w:right="0" w:firstLine="0"/>
        <w:jc w:val="left"/>
        <w:rPr>
          <w:sz w:val="15"/>
        </w:rPr>
      </w:pPr>
      <w:r>
        <w:rPr>
          <w:rStyle w:val="CharStyle58"/>
          <w:color w:val="464648"/>
          <w:sz w:val="16"/>
        </w:rPr>
        <w:t xml:space="preserve">À partir de: </w:t>
      </w:r>
      <w:r>
        <w:rPr>
          <w:rStyle w:val="CharStyle58"/>
          <w:color w:val="464648"/>
          <w:sz w:val="15"/>
        </w:rPr>
        <w:t xml:space="preserve">Peter Daszak</w:t>
      </w:r>
    </w:p>
    <w:p>
      <w:pPr>
        <w:pStyle w:val="Style36"/>
        <w:keepNext w:val="0"/>
        <w:keepLines w:val="0"/>
        <w:widowControl w:val="0"/>
        <w:shd w:val="clear" w:color="auto" w:fill="auto"/>
        <w:spacing w:before="0" w:after="0" w:line="240" w:lineRule="auto"/>
        <w:ind w:left="0" w:right="0" w:firstLine="0"/>
        <w:jc w:val="left"/>
      </w:pPr>
      <w:r>
        <w:rPr>
          <w:rStyle w:val="CharStyle37"/>
          <w:color w:val="464648"/>
        </w:rPr>
        <w:t xml:space="preserve">Envoyé: Samedi,</w:t>
      </w:r>
    </w:p>
    <w:p>
      <w:pPr>
        <w:pStyle w:val="Style36"/>
        <w:keepNext w:val="0"/>
        <w:keepLines w:val="0"/>
        <w:widowControl w:val="0"/>
        <w:shd w:val="clear" w:color="auto" w:fill="auto"/>
        <w:tabs>
          <w:tab w:pos="3216" w:val="left"/>
        </w:tabs>
        <w:spacing w:before="0" w:after="0" w:line="240" w:lineRule="auto"/>
        <w:ind w:left="0" w:right="0" w:firstLine="0"/>
        <w:jc w:val="left"/>
        <w:rPr>
          <w:sz w:val="20"/>
        </w:rPr>
      </w:pPr>
      <w:r>
        <w:rPr>
          <w:rStyle w:val="CharStyle37"/>
          <w:color w:val="303030"/>
        </w:rPr>
        <w:t xml:space="preserve">À l'attention de: T? « Sturchio</w:t>
        <w:tab/>
        <w:t xml:space="preserve">Ale&lt;sei Chi’iui 3 </w:t>
      </w:r>
      <w:r>
        <w:rPr>
          <w:rStyle w:val="CharStyle37"/>
          <w:rFonts w:ascii="Times New Roman" w:hAnsi="Times New Roman" w:cs="Times New Roman" w:eastAsia="Times New Roman"/>
          <w:color w:val="000000"/>
          <w:sz w:val="20"/>
        </w:rPr>
        <w:t>^^MtaHM|MnBUH</w:t>
      </w:r>
    </w:p>
    <w:p>
      <w:pPr>
        <w:pStyle w:val="Style36"/>
        <w:keepNext w:val="0"/>
        <w:keepLines w:val="0"/>
        <w:widowControl w:val="0"/>
        <w:shd w:val="clear" w:color="auto" w:fill="auto"/>
        <w:spacing w:before="0" w:after="0" w:line="302" w:lineRule="auto"/>
        <w:ind w:left="0" w:right="0" w:firstLine="0"/>
        <w:jc w:val="left"/>
      </w:pPr>
      <w:r>
        <w:rPr>
          <w:rStyle w:val="CharStyle37"/>
          <w:color w:val="464648"/>
        </w:rPr>
        <w:t xml:space="preserve">Objet: Stratégie■ </w:t>
      </w:r>
      <w:r>
        <w:rPr>
          <w:rStyle w:val="CharStyle37"/>
          <w:color w:val="303030"/>
        </w:rPr>
        <w:t xml:space="preserve">m^Hlegation^ror^my </w:t>
      </w:r>
      <w:r>
        <w:rPr>
          <w:rStyle w:val="CharStyle37"/>
          <w:color w:val="464648"/>
        </w:rPr>
        <w:t xml:space="preserve">public hearing.</w:t>
      </w:r>
    </w:p>
    <w:p>
      <w:pPr>
        <w:pStyle w:val="Style36"/>
        <w:keepNext w:val="0"/>
        <w:keepLines w:val="0"/>
        <w:widowControl w:val="0"/>
        <w:shd w:val="clear" w:color="auto" w:fill="auto"/>
        <w:spacing w:before="0" w:after="240" w:line="302" w:lineRule="auto"/>
        <w:ind w:left="0" w:right="0" w:firstLine="0"/>
        <w:jc w:val="left"/>
      </w:pPr>
      <w:r>
        <w:rPr>
          <w:rStyle w:val="CharStyle37"/>
          <w:color w:val="464648"/>
        </w:rPr>
        <w:t xml:space="preserve">Importance: Élevé</w:t>
      </w:r>
    </w:p>
    <w:p>
      <w:pPr>
        <w:pStyle w:val="Style36"/>
        <w:keepNext w:val="0"/>
        <w:keepLines w:val="0"/>
        <w:widowControl w:val="0"/>
        <w:shd w:val="clear" w:color="auto" w:fill="auto"/>
        <w:spacing w:before="0" w:after="240" w:line="307" w:lineRule="auto"/>
        <w:ind w:left="0" w:right="0" w:firstLine="0"/>
        <w:jc w:val="left"/>
      </w:pPr>
      <w:r>
        <w:rPr>
          <w:rStyle w:val="CharStyle37"/>
          <w:color w:val="464648"/>
        </w:rPr>
        <w:t xml:space="preserve">Jeff - Je réfléchis attentivement à vos suggestions et aux idées de notre appel d'hier concernant l'idée du commerce des espèces sauvages, etc. Voici quelques réflexions initiales que nous pourrons approfondir au cours des prochains jours:</w:t>
      </w:r>
    </w:p>
    <w:p>
      <w:pPr>
        <w:pStyle w:val="Style36"/>
        <w:keepNext w:val="0"/>
        <w:keepLines w:val="0"/>
        <w:widowControl w:val="0"/>
        <w:shd w:val="clear" w:color="auto" w:fill="auto"/>
        <w:spacing w:before="0" w:after="360" w:line="302" w:lineRule="auto"/>
        <w:ind w:left="0" w:right="0" w:firstLine="0"/>
        <w:jc w:val="left"/>
      </w:pPr>
      <w:r>
        <w:rPr>
          <w:rStyle w:val="CharStyle37"/>
          <w:color w:val="464648"/>
        </w:rPr>
        <w:t xml:space="preserve">Le SSCP ne nous permet pas de répondre aux allégations en direct, et essaie maintenant de nous empêcher de répondre publiquement. Je vous renseignerai par téléphone, mais les deux avocats de D &amp; R ont rencontré (R était à New York, D au téléphone) nos avocats et insistent pour que nos avocats effectuent maintenant tous les chaluts de courrier électronique qu’ils ont demandés précédemment. Ils citent un courriel de moi à Jerry cc'd à David il y a environ 2 semaines qui, selon eux, montre que j'essaie de ralentir la production. Cela signifie maintenant que des jours de travail passent par des milliers de courriels pour expurger rapidement toute information privilégiée et la remettre. Ils ont dit qu'ils publieraient d'autres courriels dans les prochains jours. Cela signifie que nous serons toujours sur le pied arrière dans toute réponse</w:t>
      </w:r>
    </w:p>
    <w:p>
      <w:pPr>
        <w:pStyle w:val="Style24"/>
        <w:keepNext w:val="0"/>
        <w:keepLines w:val="0"/>
        <w:widowControl w:val="0"/>
        <w:numPr>
          <w:ilvl w:val="0"/>
          <w:numId w:val="11"/>
        </w:numPr>
        <w:shd w:val="clear" w:color="auto" w:fill="auto"/>
        <w:tabs>
          <w:tab w:pos="714" w:val="left"/>
        </w:tabs>
        <w:spacing w:before="0" w:after="240" w:line="264" w:lineRule="auto"/>
        <w:ind w:left="740" w:right="0" w:hanging="360"/>
        <w:jc w:val="left"/>
      </w:pPr>
      <w:r>
        <w:rPr>
          <w:rStyle w:val="CharStyle25"/>
        </w:rPr>
        <w:t xml:space="preserve">En réponse à la demande de documents et de communications du sous-comité restreint entre le Dr Daszak et le Dr Marion Koopmans, membre de l’enquête sur les origines de l’OMS, le Dr Daszak a prévu d’entraver le sous-comité restreint en revendiquant une «immunité diplomatique» et des «règles de confidentialité de l’OMS».</w:t>
        <w:footnoteReference w:id="352"/>
      </w:r>
    </w:p>
    <w:p>
      <w:pPr>
        <w:pStyle w:val="Style36"/>
        <w:keepNext w:val="0"/>
        <w:keepLines w:val="0"/>
        <w:widowControl w:val="0"/>
        <w:shd w:val="clear" w:color="auto" w:fill="auto"/>
        <w:spacing w:before="0" w:after="120" w:line="276" w:lineRule="auto"/>
        <w:ind w:left="2040" w:right="0" w:firstLine="100"/>
        <w:jc w:val="left"/>
      </w:pPr>
      <w:r>
        <w:rPr>
          <w:rStyle w:val="CharStyle37"/>
        </w:rPr>
        <w:t xml:space="preserve">Observations [JS25]; Devrait wc </w:t>
      </w:r>
      <w:r>
        <w:rPr>
          <w:rStyle w:val="CharStyle37"/>
          <w:color w:val="A0A1A1"/>
        </w:rPr>
        <w:t xml:space="preserve">également spécifier </w:t>
      </w:r>
      <w:r>
        <w:rPr>
          <w:rStyle w:val="CharStyle37"/>
        </w:rPr>
        <w:t xml:space="preserve">llut toute communication impliquant Peter Daszak dans ce pcnodarc; </w:t>
      </w:r>
      <w:r>
        <w:rPr>
          <w:rStyle w:val="CharStyle37"/>
          <w:color w:val="A0A1A1"/>
        </w:rPr>
        <w:t xml:space="preserve"> </w:t>
      </w:r>
      <w:r>
        <w:rPr>
          <w:rStyle w:val="CharStyle37"/>
        </w:rPr>
        <w:t xml:space="preserve">couvert </w:t>
      </w:r>
      <w:r>
        <w:rPr>
          <w:rStyle w:val="CharStyle37"/>
          <w:color w:val="A0A1A1"/>
        </w:rPr>
        <w:t xml:space="preserve">par </w:t>
      </w:r>
      <w:r>
        <w:rPr>
          <w:rStyle w:val="CharStyle37"/>
        </w:rPr>
        <w:t xml:space="preserve">l'immunité diplomatique nileson de l'OMS? C'est au moins une question qui mérite d'être explorée.</w:t>
      </w:r>
    </w:p>
    <w:p>
      <w:pPr>
        <w:pStyle w:val="Style36"/>
        <w:keepNext w:val="0"/>
        <w:keepLines w:val="0"/>
        <w:widowControl w:val="0"/>
        <w:pBdr>
          <w:top w:val="single" w:sz="4" w:space="0" w:color="auto"/>
        </w:pBdr>
        <w:shd w:val="clear" w:color="auto" w:fill="auto"/>
        <w:spacing w:before="0" w:after="1100" w:line="276" w:lineRule="auto"/>
        <w:ind w:left="2140" w:right="0" w:firstLine="0"/>
        <w:jc w:val="left"/>
      </w:pPr>
      <w:r>
        <w:rPr>
          <w:rStyle w:val="CharStyle37"/>
        </w:rPr>
        <w:t xml:space="preserve">Commenté [PO26R25]: Toute communication entre moi et </w:t>
      </w:r>
      <w:r>
        <w:rPr>
          <w:rStyle w:val="CharStyle37"/>
          <w:color w:val="A0A1A1"/>
        </w:rPr>
        <w:t xml:space="preserve">"../d </w:t>
      </w:r>
      <w:r>
        <w:rPr>
          <w:rStyle w:val="CharStyle37"/>
        </w:rPr>
        <w:t xml:space="preserve">who.int" sera couverte par cette règle</w:t>
      </w:r>
    </w:p>
    <w:p>
      <w:pPr>
        <w:pStyle w:val="Style24"/>
        <w:keepNext w:val="0"/>
        <w:keepLines w:val="0"/>
        <w:widowControl w:val="0"/>
        <w:numPr>
          <w:ilvl w:val="0"/>
          <w:numId w:val="11"/>
        </w:numPr>
        <w:shd w:val="clear" w:color="auto" w:fill="auto"/>
        <w:tabs>
          <w:tab w:pos="711" w:val="left"/>
        </w:tabs>
        <w:spacing w:before="0" w:after="3840"/>
        <w:ind w:left="740" w:right="0" w:hanging="360"/>
        <w:jc w:val="left"/>
      </w:pPr>
      <w:r>
        <w:rPr>
          <w:rStyle w:val="CharStyle25"/>
        </w:rPr>
        <w:t xml:space="preserve">En préparation de l’audition publique du Dr Daszak du 1er mai 2024, son consultant a suggéré que le Dr Daszak réponde avec «une cadence lente et délibérée» et «avec une lenteur atroce». Le Dr Daszak a répondu: «J’aime les deux.»</w:t>
      </w:r>
    </w:p>
    <w:p>
      <w:pPr>
        <w:pStyle w:val="Style24"/>
        <w:keepNext w:val="0"/>
        <w:keepLines w:val="0"/>
        <w:widowControl w:val="0"/>
        <w:shd w:val="clear" w:color="auto" w:fill="auto"/>
        <w:spacing w:before="0" w:after="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widowControl w:val="0"/>
        <w:jc w:val="center"/>
        <w:rPr>
          <w:sz w:val="2"/>
        </w:rPr>
      </w:pPr>
      <w:r>
        <w:drawing>
          <wp:inline>
            <wp:extent cx="6016625" cy="8089265"/>
            <wp:docPr id="133" name="Picutre 133"/>
            <a:graphic xmlns:a="http://schemas.openxmlformats.org/drawingml/2006/main">
              <a:graphicData uri="http://schemas.openxmlformats.org/drawingml/2006/picture">
                <pic:pic xmlns:pic="http://schemas.openxmlformats.org/drawingml/2006/picture">
                  <pic:nvPicPr>
                    <pic:cNvPr id="133" name="Photo 133"/>
                    <pic:cNvPicPr/>
                  </pic:nvPicPr>
                  <pic:blipFill>
                    <a:blip r:embed="rId56"/>
                    <a:stretch/>
                  </pic:blipFill>
                  <pic:spPr>
                    <a:xfrm>
                      <a:ext cx="6016625" cy="8089265"/>
                    </a:xfrm>
                    <a:prstGeom prst="rect"/>
                  </pic:spPr>
                </pic:pic>
              </a:graphicData>
            </a:graphic>
          </wp:inline>
        </w:drawing>
      </w:r>
    </w:p>
    <w:p>
      <w:pPr>
        <w:pStyle w:val="Style18"/>
        <w:keepNext w:val="0"/>
        <w:keepLines w:val="0"/>
        <w:widowControl w:val="0"/>
        <w:shd w:val="clear" w:color="auto" w:fill="auto"/>
        <w:tabs>
          <w:tab w:leader="dot" w:pos="2372" w:val="left"/>
        </w:tabs>
        <w:spacing w:before="0" w:after="240" w:line="240" w:lineRule="auto"/>
        <w:ind w:left="200" w:right="0" w:firstLine="0"/>
        <w:jc w:val="left"/>
      </w:pPr>
      <w:r>
        <w:rPr>
          <w:rStyle w:val="CharStyle19"/>
          <w:rFonts w:ascii="Arial" w:hAnsi="Arial" w:cs="Arial" w:eastAsia="Arial"/>
          <w:color w:val="464648"/>
        </w:rPr>
        <w:t xml:space="preserve">vous êtes un scientifique finlandais invité à répondre à une question technique complexe. (Cela fonctionne mieux si vous utilisez un accent finlandais, ou un fac-similé raisonnable.) Votre réponse, dans une cadence lente et délibérée est de dire: «Merci, membre du Congrès, pour cette question très importante et intéressante. Nous avons publié au moins 96 articles sur ce sujet. Pour répondre adéquatement à votre question, je dois vraiment commencer par le début. Dans le premier article, nous avons trouvé X </w:t>
      </w:r>
      <w:r>
        <w:rPr>
          <w:rStyle w:val="CharStyle19"/>
          <w:rFonts w:ascii="Arial" w:hAnsi="Arial" w:cs="Arial" w:eastAsia="Arial"/>
          <w:color w:val="464648"/>
        </w:rPr>
        <w:t xml:space="preserve">« [Ensuite, répétez, avec une livraison terriblement lente, à travers autant de documents que vous le pouvez avant que l’interrogateur ne commence à ronfler - ou soit si agité qu’il vous coupe....] À ce moment-là, vous dites: «Mais membre du Congrès, </w:t>
      </w:r>
      <w:r>
        <w:rPr>
          <w:rStyle w:val="CharStyle19"/>
          <w:rFonts w:ascii="Arial" w:hAnsi="Arial" w:cs="Arial" w:eastAsia="Arial"/>
          <w:color w:val="656361"/>
        </w:rPr>
        <w:t xml:space="preserve">j’essaie </w:t>
      </w:r>
      <w:r>
        <w:rPr>
          <w:rStyle w:val="CharStyle19"/>
          <w:rFonts w:ascii="Arial" w:hAnsi="Arial" w:cs="Arial" w:eastAsia="Arial"/>
          <w:color w:val="464648"/>
        </w:rPr>
        <w:t xml:space="preserve">de répondre à votre question - pour le faire de manière appropriée, il me faut fournir ce contexte....» Vous pouvez également garder celui-ci dans votre poche arrière!</w:t>
      </w:r>
    </w:p>
    <w:p>
      <w:pPr>
        <w:pStyle w:val="Style18"/>
        <w:keepNext w:val="0"/>
        <w:keepLines w:val="0"/>
        <w:widowControl w:val="0"/>
        <w:shd w:val="clear" w:color="auto" w:fill="auto"/>
        <w:spacing w:before="0" w:after="480" w:line="240" w:lineRule="auto"/>
        <w:ind w:left="200" w:right="0" w:firstLine="0"/>
        <w:jc w:val="left"/>
      </w:pPr>
      <w:r>
        <w:rPr>
          <w:rStyle w:val="CharStyle19"/>
          <w:rFonts w:ascii="Arial" w:hAnsi="Arial" w:cs="Arial" w:eastAsia="Arial"/>
          <w:color w:val="464648"/>
        </w:rPr>
        <w:t xml:space="preserve">Comme toujours, Jeff</w:t>
      </w:r>
    </w:p>
    <w:p>
      <w:pPr>
        <w:pStyle w:val="Style24"/>
        <w:keepNext w:val="0"/>
        <w:keepLines w:val="0"/>
        <w:widowControl w:val="0"/>
        <w:numPr>
          <w:ilvl w:val="0"/>
          <w:numId w:val="11"/>
        </w:numPr>
        <w:shd w:val="clear" w:color="auto" w:fill="auto"/>
        <w:tabs>
          <w:tab w:pos="711" w:val="left"/>
        </w:tabs>
        <w:spacing w:before="0" w:after="340"/>
        <w:ind w:left="740" w:right="0" w:hanging="360"/>
        <w:jc w:val="left"/>
      </w:pPr>
      <w:r>
        <w:rPr>
          <w:rStyle w:val="CharStyle25"/>
        </w:rPr>
        <w:t xml:space="preserve">Le 26 avril 2024, après que le sous-comité restreint a menacé d’assigner EcoHealth à comparaître pour des documents, le Dr Daszak a écrit: «[l]orsqu’ils nous écrivent au sujet de problèmes liés à notre production, nous en produirons rapidement davantage et tenterons d’éviter cela». </w:t>
        <w:footnoteReference w:id="353"/>
        <w:t xml:space="preserve"> Le Dr Daszak a déclaré qu’il retenait des documents, puis, une fois que le sous-comité restreint a menacé d’assigner à comparaître, il a décidé d’en produire davantage.</w:t>
      </w:r>
    </w:p>
    <w:p>
      <w:pPr>
        <w:pStyle w:val="Style27"/>
        <w:keepNext w:val="0"/>
        <w:keepLines w:val="0"/>
        <w:widowControl w:val="0"/>
        <w:shd w:val="clear" w:color="auto" w:fill="auto"/>
        <w:spacing w:before="0" w:after="0" w:line="240" w:lineRule="auto"/>
        <w:ind w:left="0" w:right="0" w:firstLine="0"/>
        <w:jc w:val="left"/>
        <w:rPr>
          <w:sz w:val="10"/>
        </w:rPr>
      </w:pPr>
      <w:r>
        <w:rPr>
          <w:rStyle w:val="CharStyle28"/>
          <w:color w:val="303030"/>
          <w:sz w:val="10"/>
        </w:rPr>
        <w:t>Message</w:t>
      </w:r>
    </w:p>
    <w:p>
      <w:pPr>
        <w:widowControl w:val="0"/>
        <w:jc w:val="center"/>
        <w:rPr>
          <w:sz w:val="2"/>
        </w:rPr>
      </w:pPr>
      <w:r>
        <w:drawing>
          <wp:inline>
            <wp:extent cx="4839970" cy="780415"/>
            <wp:docPr id="134" name="Picutre 134"/>
            <a:graphic xmlns:a="http://schemas.openxmlformats.org/drawingml/2006/main">
              <a:graphicData uri="http://schemas.openxmlformats.org/drawingml/2006/picture">
                <pic:pic xmlns:pic="http://schemas.openxmlformats.org/drawingml/2006/picture">
                  <pic:nvPicPr>
                    <pic:cNvPr id="134" name="Photo 134"/>
                    <pic:cNvPicPr/>
                  </pic:nvPicPr>
                  <pic:blipFill>
                    <a:blip r:embed="rId58"/>
                    <a:stretch/>
                  </pic:blipFill>
                  <pic:spPr>
                    <a:xfrm>
                      <a:ext cx="4839970" cy="780415"/>
                    </a:xfrm>
                    <a:prstGeom prst="rect"/>
                  </pic:spPr>
                </pic:pic>
              </a:graphicData>
            </a:graphic>
          </wp:inline>
        </w:drawing>
      </w:r>
    </w:p>
    <w:p>
      <w:pPr>
        <w:pStyle w:val="Style27"/>
        <w:keepNext w:val="0"/>
        <w:keepLines w:val="0"/>
        <w:widowControl w:val="0"/>
        <w:shd w:val="clear" w:color="auto" w:fill="auto"/>
        <w:spacing w:before="0" w:after="0" w:line="331" w:lineRule="auto"/>
        <w:ind w:left="0" w:right="0" w:firstLine="0"/>
        <w:jc w:val="left"/>
        <w:rPr>
          <w:sz w:val="12"/>
        </w:rPr>
      </w:pPr>
      <w:r>
        <w:rPr>
          <w:rStyle w:val="CharStyle28"/>
          <w:color w:val="303030"/>
          <w:sz w:val="12"/>
        </w:rPr>
        <w:t xml:space="preserve">Complètement d'accord avec tout ce que vous dites.</w:t>
      </w:r>
    </w:p>
    <w:p>
      <w:pPr>
        <w:widowControl w:val="0"/>
        <w:spacing w:after="239" w:line="1" w:lineRule="exact"/>
      </w:pPr>
    </w:p>
    <w:p>
      <w:pPr>
        <w:pStyle w:val="Style18"/>
        <w:keepNext w:val="0"/>
        <w:keepLines w:val="0"/>
        <w:widowControl w:val="0"/>
        <w:shd w:val="clear" w:color="auto" w:fill="auto"/>
        <w:spacing w:before="0" w:after="180" w:line="331" w:lineRule="auto"/>
        <w:ind w:left="0" w:right="0" w:firstLine="840"/>
        <w:jc w:val="left"/>
        <w:rPr>
          <w:sz w:val="12"/>
        </w:rPr>
      </w:pPr>
      <w:r>
        <w:rPr>
          <w:rStyle w:val="CharStyle19"/>
          <w:rFonts w:ascii="Arial" w:hAnsi="Arial" w:cs="Arial" w:eastAsia="Arial"/>
          <w:color w:val="303030"/>
          <w:sz w:val="12"/>
        </w:rPr>
        <w:t xml:space="preserve">Une fois qu'ils nous ont écrit avec des problèmes sur notre production, nous produirons rapidement plus et essayerons de le faire au passage.</w:t>
      </w:r>
    </w:p>
    <w:p>
      <w:pPr>
        <w:pStyle w:val="Style18"/>
        <w:keepNext w:val="0"/>
        <w:keepLines w:val="0"/>
        <w:widowControl w:val="0"/>
        <w:shd w:val="clear" w:color="auto" w:fill="auto"/>
        <w:spacing w:before="0" w:after="1320" w:line="331" w:lineRule="auto"/>
        <w:ind w:left="840" w:right="0" w:firstLine="0"/>
        <w:jc w:val="left"/>
        <w:rPr>
          <w:sz w:val="12"/>
        </w:rPr>
      </w:pPr>
      <w:r>
        <w:rPr>
          <w:rStyle w:val="CharStyle19"/>
          <w:rFonts w:ascii="Arial" w:hAnsi="Arial" w:cs="Arial" w:eastAsia="Arial"/>
          <w:color w:val="303030"/>
          <w:sz w:val="12"/>
        </w:rPr>
        <w:t xml:space="preserve">Ré. Jon Epstein communiquant avec David Morens, je crois qu'il serait probablement l'un des 4 ou 5 max à l'écosanté qui auraient des raisons de parler avec David. Je pense que ses courriels ne seront rien du tout, et il se peut qu'ils ne se soient pas montrés parce qu'ils n'étaient pas liés aux origines de la COVID. Tout cela dit, heureux de les remettre en temps voulu, ainsi que d'autres demandes...</w:t>
      </w:r>
    </w:p>
    <w:p>
      <w:pPr>
        <w:pStyle w:val="Style18"/>
        <w:keepNext w:val="0"/>
        <w:keepLines w:val="0"/>
        <w:widowControl w:val="0"/>
        <w:shd w:val="clear" w:color="auto" w:fill="auto"/>
        <w:spacing w:before="0" w:after="240" w:line="240" w:lineRule="auto"/>
        <w:ind w:left="0" w:right="0" w:firstLine="840"/>
        <w:jc w:val="left"/>
        <w:rPr>
          <w:sz w:val="12"/>
        </w:rPr>
      </w:pPr>
      <w:r>
        <w:rPr>
          <w:rStyle w:val="CharStyle19"/>
          <w:rFonts w:ascii="Arial" w:hAnsi="Arial" w:cs="Arial" w:eastAsia="Arial"/>
          <w:color w:val="303030"/>
          <w:sz w:val="12"/>
        </w:rPr>
        <w:t>Salutations,</w:t>
      </w:r>
    </w:p>
    <w:p>
      <w:pPr>
        <w:pStyle w:val="Style18"/>
        <w:keepNext w:val="0"/>
        <w:keepLines w:val="0"/>
        <w:widowControl w:val="0"/>
        <w:shd w:val="clear" w:color="auto" w:fill="auto"/>
        <w:spacing w:before="0" w:after="0" w:line="240" w:lineRule="auto"/>
        <w:ind w:left="0" w:right="0" w:firstLine="840"/>
        <w:jc w:val="left"/>
        <w:rPr>
          <w:sz w:val="12"/>
        </w:rPr>
      </w:pPr>
      <w:r>
        <w:rPr>
          <w:rStyle w:val="CharStyle19"/>
          <w:rFonts w:ascii="Arial" w:hAnsi="Arial" w:cs="Arial" w:eastAsia="Arial"/>
          <w:color w:val="303030"/>
          <w:sz w:val="12"/>
        </w:rPr>
        <w:t>Peter</w:t>
      </w:r>
    </w:p>
    <w:p>
      <w:pPr>
        <w:pStyle w:val="Style24"/>
        <w:keepNext w:val="0"/>
        <w:keepLines w:val="0"/>
        <w:widowControl w:val="0"/>
        <w:numPr>
          <w:ilvl w:val="0"/>
          <w:numId w:val="11"/>
        </w:numPr>
        <w:shd w:val="clear" w:color="auto" w:fill="auto"/>
        <w:tabs>
          <w:tab w:pos="711" w:val="left"/>
        </w:tabs>
        <w:spacing w:before="0"/>
        <w:ind w:left="740" w:right="0" w:hanging="360"/>
        <w:jc w:val="left"/>
      </w:pPr>
      <w:r>
        <w:rPr>
          <w:rStyle w:val="CharStyle25"/>
        </w:rPr>
        <w:t xml:space="preserve">Depuis février 2023, le sous-comité restreint a demandé toutes les communications entre le Dr Daszak et le FBI. Le 11 avril 2024, le Dr Daszak a transmis une lettre au sous-comité restreint indiquant que «[l]e Federal Bureau of Investigation traitait des menaces pesant sur EcoHealth Alliance et sur le personnel d’EcoHealth Alliance, y compris le Dr Daszak et sa famille. Pour cette raison, et parce que certains sont probablement liés à des enquêtes actives, EcoHealthAlliance ne peut pas fournir ces dossiers au SSCP. Si vous avez d’autres questions, veuillez contacter le Federal Bureau of Investigation.»</w:t>
        <w:footnoteReference w:id="354"/>
        <w:t xml:space="preserve"> Ce n’est pas vrai.</w:t>
      </w:r>
    </w:p>
    <w:p>
      <w:pPr>
        <w:pStyle w:val="Style24"/>
        <w:keepNext w:val="0"/>
        <w:keepLines w:val="0"/>
        <w:widowControl w:val="0"/>
        <w:shd w:val="clear" w:color="auto" w:fill="auto"/>
        <w:spacing w:before="0" w:line="264" w:lineRule="auto"/>
        <w:ind w:left="740" w:right="0" w:firstLine="0"/>
        <w:jc w:val="left"/>
      </w:pPr>
      <w:r>
        <w:rPr>
          <w:rStyle w:val="CharStyle25"/>
        </w:rPr>
        <w:t xml:space="preserve">En fait, un projet de lettre de réponse du Dr Daszak indiquait plus précisément que «[l]e Federal Bureau of Investigation traitait des menaces pesant sur EcoHealth Alliance et sur le Dr Daszak et sa famille, ainsi que d’autres questions de renseignement [...]».</w:t>
        <w:footnoteReference w:id="355"/>
      </w:r>
    </w:p>
    <w:p>
      <w:pPr>
        <w:pStyle w:val="Style24"/>
        <w:keepNext w:val="0"/>
        <w:keepLines w:val="0"/>
        <w:widowControl w:val="0"/>
        <w:shd w:val="clear" w:color="auto" w:fill="auto"/>
        <w:spacing w:before="0" w:after="380"/>
        <w:ind w:left="740" w:right="0" w:firstLine="0"/>
        <w:jc w:val="left"/>
      </w:pPr>
      <w:r>
        <w:rPr>
          <w:rStyle w:val="CharStyle25"/>
        </w:rPr>
        <w:t xml:space="preserve">Le 19 avril 2024, le Dr Daszak, dans un courriel adressé à son conseil, a déclaré: «La plupart des courriels concernent des menaces... certains sont mélangés à des réponses au [FBI] sur les origines de la COVID-19 et il y en a quelques-uns où je leur donne des informations sur la situation en Chine, sur les personnes avec lesquelles nous avons travaillé, etc. Il est extrêmement préjudiciable à notre réputation de révéler les discussions que j’ai eues avec eux à ce sujet et nous devons éviter cela à tout prix à mon avis.»</w:t>
        <w:footnoteReference w:id="356"/>
      </w:r>
    </w:p>
    <w:p>
      <w:pPr>
        <w:pStyle w:val="Style36"/>
        <w:keepNext w:val="0"/>
        <w:keepLines w:val="0"/>
        <w:widowControl w:val="0"/>
        <w:shd w:val="clear" w:color="auto" w:fill="auto"/>
        <w:spacing w:before="0" w:after="340" w:line="300" w:lineRule="auto"/>
        <w:ind w:left="0" w:right="0" w:firstLine="0"/>
        <w:jc w:val="left"/>
      </w:pPr>
      <w:r>
        <w:rPr>
          <w:rStyle w:val="CharStyle37"/>
          <w:color w:val="464648"/>
        </w:rPr>
        <w:t xml:space="preserve">1) #6, échanges de courriels du FBI. La plupart des courriels traitent de menaces et d'attaques, ce qui est personnel et sensible. Certains sont mélangés avec des réponses à eux sur les origines de la covid et il y en a quelques-uns où je leur donne des informations sur la situation en Chine, sur les personnes avec lesquelles nous avons travaillé, etc. Il est extrêmement préjudiciable à notre réputation de révéler les discussions que j'ai eues avec eux à ce sujet et nous devons éviter cela à tout prix à mon avis. Bien qu'il puisse être bon pour le public américain de découvrir que j'informais le CI sur les origines de la covid, les détails de ces courriels ne sont pas destinés à la consommation publique, seront utilisés par le SSCP pour nous attaquer politiquement et saperont complètement notre capacité en tant qu'organisation à travailler dans le monde entier - nous serons considérés comme des espions, pas comme des scientifiques. Je ne devrais pas être puni pour avoir fait la bonne chose en tant que citoyen américain et aidé le gouvernement lorsqu'on me le demande (selon le serment que vous jurez lorsque vous devenez citoyen!).</w:t>
      </w:r>
    </w:p>
    <w:p>
      <w:pPr>
        <w:pStyle w:val="Style24"/>
        <w:keepNext w:val="0"/>
        <w:keepLines w:val="0"/>
        <w:widowControl w:val="0"/>
        <w:numPr>
          <w:ilvl w:val="0"/>
          <w:numId w:val="11"/>
        </w:numPr>
        <w:shd w:val="clear" w:color="auto" w:fill="auto"/>
        <w:tabs>
          <w:tab w:pos="711" w:val="left"/>
        </w:tabs>
        <w:spacing w:before="0" w:after="1080"/>
        <w:ind w:left="740" w:right="0" w:hanging="360"/>
        <w:jc w:val="left"/>
      </w:pPr>
      <w:r>
        <w:rPr>
          <w:rStyle w:val="CharStyle25"/>
        </w:rPr>
        <w:t xml:space="preserve">Le 30 mars 2023, le Dr Daszak a écrit qu’il avait transmis au sous-comité restreint des documents dont la portée était «très réduite» et qu’EcoHealth n’envoyait pas «tous les dossiers» ni ne recherchait «tout le personnel».</w:t>
        <w:footnoteReference w:id="357"/>
      </w:r>
    </w:p>
    <w:p>
      <w:pPr>
        <w:pStyle w:val="Style24"/>
        <w:keepNext w:val="0"/>
        <w:keepLines w:val="0"/>
        <w:widowControl w:val="0"/>
        <w:shd w:val="clear" w:color="auto" w:fill="auto"/>
        <w:spacing w:before="0" w:after="36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pStyle w:val="Style27"/>
        <w:keepNext w:val="0"/>
        <w:keepLines w:val="0"/>
        <w:widowControl w:val="0"/>
        <w:shd w:val="clear" w:color="auto" w:fill="auto"/>
        <w:spacing w:before="0" w:after="0" w:line="240" w:lineRule="auto"/>
        <w:ind w:left="0" w:right="0" w:firstLine="0"/>
        <w:jc w:val="left"/>
        <w:rPr>
          <w:sz w:val="22"/>
        </w:rPr>
      </w:pPr>
      <w:r>
        <w:rPr>
          <w:rStyle w:val="CharStyle28"/>
          <w:rFonts w:ascii="Times New Roman" w:hAnsi="Times New Roman" w:cs="Times New Roman" w:eastAsia="Times New Roman"/>
          <w:color w:val="464648"/>
          <w:sz w:val="22"/>
        </w:rPr>
        <w:t>Message</w:t>
      </w:r>
    </w:p>
    <w:p>
      <w:pPr>
        <w:widowControl w:val="0"/>
        <w:jc w:val="center"/>
        <w:rPr>
          <w:sz w:val="2"/>
        </w:rPr>
      </w:pPr>
      <w:r>
        <w:drawing>
          <wp:inline>
            <wp:extent cx="5388610" cy="926465"/>
            <wp:docPr id="135" name="Picutre 135"/>
            <a:graphic xmlns:a="http://schemas.openxmlformats.org/drawingml/2006/main">
              <a:graphicData uri="http://schemas.openxmlformats.org/drawingml/2006/picture">
                <pic:pic xmlns:pic="http://schemas.openxmlformats.org/drawingml/2006/picture">
                  <pic:nvPicPr>
                    <pic:cNvPr id="135" name="Photo 135"/>
                    <pic:cNvPicPr/>
                  </pic:nvPicPr>
                  <pic:blipFill>
                    <a:blip r:embed="rId60"/>
                    <a:stretch/>
                  </pic:blipFill>
                  <pic:spPr>
                    <a:xfrm>
                      <a:ext cx="5388610" cy="926465"/>
                    </a:xfrm>
                    <a:prstGeom prst="rect"/>
                  </pic:spPr>
                </pic:pic>
              </a:graphicData>
            </a:graphic>
          </wp:inline>
        </w:drawing>
      </w:r>
    </w:p>
    <w:p>
      <w:pPr>
        <w:pStyle w:val="Style27"/>
        <w:keepNext w:val="0"/>
        <w:keepLines w:val="0"/>
        <w:widowControl w:val="0"/>
        <w:shd w:val="clear" w:color="auto" w:fill="auto"/>
        <w:spacing w:before="0" w:after="0" w:line="295" w:lineRule="auto"/>
        <w:ind w:left="0" w:right="0" w:firstLine="0"/>
        <w:jc w:val="left"/>
        <w:rPr>
          <w:sz w:val="16"/>
        </w:rPr>
      </w:pPr>
      <w:r>
        <w:rPr>
          <w:rStyle w:val="CharStyle28"/>
          <w:color w:val="464648"/>
          <w:sz w:val="16"/>
        </w:rPr>
        <w:t xml:space="preserve">OK, pas de problème. Une fois que vous les avez envoyés, faites-le moi savoir - je veux aussi voir à quelle vitesse ils répondent.</w:t>
      </w:r>
    </w:p>
    <w:p>
      <w:pPr>
        <w:widowControl w:val="0"/>
        <w:spacing w:after="259" w:line="1" w:lineRule="exact"/>
      </w:pPr>
    </w:p>
    <w:p>
      <w:pPr>
        <w:pStyle w:val="Style36"/>
        <w:keepNext w:val="0"/>
        <w:keepLines w:val="0"/>
        <w:widowControl w:val="0"/>
        <w:shd w:val="clear" w:color="auto" w:fill="auto"/>
        <w:spacing w:before="0" w:after="220" w:line="295" w:lineRule="auto"/>
        <w:ind w:left="0" w:right="0" w:firstLine="0"/>
        <w:jc w:val="left"/>
      </w:pPr>
      <w:r>
        <w:rPr>
          <w:rStyle w:val="CharStyle37"/>
          <w:color w:val="464648"/>
        </w:rPr>
        <w:t xml:space="preserve">Nous vous enverrons le prochain lot demain (très réduit dans la portée), et viserons un troisième lot pour vous sur le 29th</w:t>
      </w:r>
      <w:r>
        <w:rPr>
          <w:rStyle w:val="CharStyle37"/>
          <w:color w:val="464648"/>
        </w:rPr>
        <w:t xml:space="preserve"> avec quelques trucs plus détaillés.</w:t>
      </w:r>
    </w:p>
    <w:p>
      <w:pPr>
        <w:pStyle w:val="Style36"/>
        <w:keepNext w:val="0"/>
        <w:keepLines w:val="0"/>
        <w:widowControl w:val="0"/>
        <w:shd w:val="clear" w:color="auto" w:fill="auto"/>
        <w:spacing w:before="0" w:after="680" w:line="295" w:lineRule="auto"/>
        <w:ind w:left="0" w:right="0" w:firstLine="0"/>
        <w:jc w:val="left"/>
      </w:pPr>
      <w:r>
        <w:rPr>
          <w:rStyle w:val="CharStyle37"/>
          <w:color w:val="464648"/>
        </w:rPr>
        <w:t xml:space="preserve">Je pense qu'une fois qu'ils commenceront à examiner le premier lot, ils pourraient revenir avec des questions, par exemple pourquoi nous n'envoyons pas tous les enregistrements et pourquoi nous ne le faisons pas pour tout le personnel. Si nous obtenons ce genre de refoulement, nous devrons réfléchir aux prochaines étapes.</w:t>
      </w:r>
    </w:p>
    <w:p>
      <w:pPr>
        <w:pStyle w:val="Style24"/>
        <w:keepNext w:val="0"/>
        <w:keepLines w:val="0"/>
        <w:widowControl w:val="0"/>
        <w:numPr>
          <w:ilvl w:val="0"/>
          <w:numId w:val="11"/>
        </w:numPr>
        <w:shd w:val="clear" w:color="auto" w:fill="auto"/>
        <w:tabs>
          <w:tab w:pos="711" w:val="left"/>
        </w:tabs>
        <w:spacing w:before="0" w:after="220" w:line="264" w:lineRule="auto"/>
        <w:ind w:left="740" w:right="0" w:hanging="360"/>
        <w:jc w:val="left"/>
      </w:pPr>
      <w:r>
        <w:rPr>
          <w:rStyle w:val="CharStyle25"/>
        </w:rPr>
        <w:t xml:space="preserve">Le 14 février 2023, le Dr Daszak, après avoir reçu une lettre du sous-comité restreint, a écrit un courriel à son conseil: «[p]lease do what you can to slow prolong the timeline and significantly reduce the scope...» [Veuillez faire ce que vous pouvez pour prolonger lentement le délai et réduire considérablement la portée...]</w:t>
        <w:footnoteReference w:id="358"/>
      </w:r>
    </w:p>
    <w:p>
      <w:pPr>
        <w:widowControl w:val="0"/>
        <w:jc w:val="center"/>
        <w:rPr>
          <w:sz w:val="2"/>
        </w:rPr>
      </w:pPr>
      <w:r>
        <w:drawing>
          <wp:inline>
            <wp:extent cx="6022975" cy="2237105"/>
            <wp:docPr id="136" name="Picutre 136"/>
            <a:graphic xmlns:a="http://schemas.openxmlformats.org/drawingml/2006/main">
              <a:graphicData uri="http://schemas.openxmlformats.org/drawingml/2006/picture">
                <pic:pic xmlns:pic="http://schemas.openxmlformats.org/drawingml/2006/picture">
                  <pic:nvPicPr>
                    <pic:cNvPr id="136" name="Photo 136"/>
                    <pic:cNvPicPr/>
                  </pic:nvPicPr>
                  <pic:blipFill>
                    <a:blip r:embed="rId62"/>
                    <a:stretch/>
                  </pic:blipFill>
                  <pic:spPr>
                    <a:xfrm>
                      <a:ext cx="6022975" cy="2237105"/>
                    </a:xfrm>
                    <a:prstGeom prst="rect"/>
                  </pic:spPr>
                </pic:pic>
              </a:graphicData>
            </a:graphic>
          </wp:inline>
        </w:drawing>
      </w:r>
    </w:p>
    <w:p>
      <w:pPr>
        <w:widowControl w:val="0"/>
        <w:spacing w:after="259" w:line="1" w:lineRule="exact"/>
      </w:pPr>
    </w:p>
    <w:p>
      <w:pPr>
        <w:pStyle w:val="Style24"/>
        <w:keepNext w:val="0"/>
        <w:keepLines w:val="0"/>
        <w:widowControl w:val="0"/>
        <w:numPr>
          <w:ilvl w:val="0"/>
          <w:numId w:val="11"/>
        </w:numPr>
        <w:shd w:val="clear" w:color="auto" w:fill="auto"/>
        <w:tabs>
          <w:tab w:pos="711" w:val="left"/>
        </w:tabs>
        <w:spacing w:before="0"/>
        <w:ind w:left="740" w:right="0" w:hanging="360"/>
        <w:jc w:val="left"/>
      </w:pPr>
      <w:r>
        <w:rPr>
          <w:rStyle w:val="CharStyle25"/>
        </w:rPr>
        <w:t xml:space="preserve">Par courtoisie, le Sous-comité spécial permet aux témoins d'examiner leurs transcriptions d'entrevue transcrites avant leur libération. Le sous-comité restreint n’est pas tenu d’accepter les modifications apportées par les témoins. Toutefois, comme condition de cet examen, le témoin convient que «la transcription est la propriété du comité et que vous et votre client acceptez de ne pas partager ou prendre des photos ou des représentations numériques de la transcription». Le Dr Daszak a violé cet accord et a déclaré dans un courriel qu’il a pris «des captures d’écran de chacune des questions dont je pense que les gens essaieront de faire des nouvelles».</w:t>
        <w:footnoteReference w:id="359"/>
      </w:r>
      <w:r>
        <w:br w:type="page"/>
      </w:r>
    </w:p>
    <w:p>
      <w:pPr>
        <w:pStyle w:val="Style18"/>
        <w:keepNext w:val="0"/>
        <w:keepLines w:val="0"/>
        <w:widowControl w:val="0"/>
        <w:shd w:val="clear" w:color="auto" w:fill="auto"/>
        <w:spacing w:before="0" w:after="0" w:line="240" w:lineRule="auto"/>
        <w:ind w:left="0" w:right="0" w:firstLine="0"/>
        <w:jc w:val="left"/>
        <w:rPr>
          <w:sz w:val="8"/>
        </w:rPr>
      </w:pPr>
      <w:r>
        <w:rPr>
          <w:rStyle w:val="CharStyle19"/>
          <w:rFonts w:ascii="Arial" w:hAnsi="Arial" w:cs="Arial" w:eastAsia="Arial"/>
          <w:sz w:val="8"/>
        </w:rPr>
        <w:t xml:space="preserve">" </w:t>
      </w:r>
      <w:r>
        <w:rPr>
          <w:rStyle w:val="CharStyle19"/>
          <w:rFonts w:ascii="Arial" w:hAnsi="Arial" w:cs="Arial" w:eastAsia="Arial"/>
          <w:sz w:val="8"/>
          <w:vertAlign w:val="superscript"/>
        </w:rPr>
        <w:t>L</w:t>
      </w:r>
      <w:r>
        <w:rPr>
          <w:rStyle w:val="CharStyle19"/>
          <w:rFonts w:ascii="Arial" w:hAnsi="Arial" w:cs="Arial" w:eastAsia="Arial"/>
          <w:sz w:val="8"/>
        </w:rPr>
        <w:t xml:space="preserve"> ' - "</w:t>
      </w:r>
      <w:r>
        <w:rPr>
          <w:rStyle w:val="CharStyle19"/>
          <w:rFonts w:ascii="Arial" w:hAnsi="Arial" w:cs="Arial" w:eastAsia="Arial"/>
          <w:sz w:val="8"/>
          <w:vertAlign w:val="superscript"/>
        </w:rPr>
        <w:t xml:space="preserve">: ;</w:t>
      </w:r>
      <w:r>
        <w:rPr>
          <w:rStyle w:val="CharStyle19"/>
          <w:rFonts w:ascii="Arial" w:hAnsi="Arial" w:cs="Arial" w:eastAsia="Arial"/>
          <w:sz w:val="8"/>
        </w:rPr>
        <w:t xml:space="preserve"> ■' H</w:t>
      </w:r>
    </w:p>
    <w:p>
      <w:pPr>
        <w:pStyle w:val="Style36"/>
        <w:keepNext w:val="0"/>
        <w:keepLines w:val="0"/>
        <w:widowControl w:val="0"/>
        <w:shd w:val="clear" w:color="auto" w:fill="auto"/>
        <w:spacing w:before="0" w:after="0" w:line="230" w:lineRule="auto"/>
        <w:ind w:left="0" w:right="0" w:firstLine="0"/>
        <w:jc w:val="left"/>
      </w:pPr>
      <w:r>
        <w:rPr>
          <w:rStyle w:val="CharStyle37"/>
          <w:color w:val="464648"/>
        </w:rPr>
        <w:t>Sen</w:t>
      </w:r>
      <w:r>
        <w:rPr>
          <w:rStyle w:val="CharStyle37"/>
          <w:color w:val="464648"/>
          <w:u w:val="single"/>
        </w:rPr>
        <w:t xml:space="preserve">t : Jeudi 25 janvier 2024 19:14</w:t>
      </w:r>
    </w:p>
    <w:p>
      <w:pPr>
        <w:pStyle w:val="Style24"/>
        <w:keepNext w:val="0"/>
        <w:keepLines w:val="0"/>
        <w:widowControl w:val="0"/>
        <w:shd w:val="clear" w:color="auto" w:fill="auto"/>
        <w:spacing w:before="0" w:after="60" w:line="240" w:lineRule="auto"/>
        <w:ind w:left="0" w:right="0" w:firstLine="0"/>
        <w:jc w:val="left"/>
        <w:rPr>
          <w:sz w:val="20"/>
        </w:rPr>
      </w:pPr>
      <w:r>
        <mc:AlternateContent>
          <mc:Choice Requires="wps">
            <w:drawing>
              <wp:anchor distT="0" distB="143510" distL="114300" distR="2894330" simplePos="0" relativeHeight="125829448" behindDoc="0" locked="0" layoutInCell="1" allowOverlap="1">
                <wp:simplePos x="0" y="0"/>
                <wp:positionH relativeFrom="page">
                  <wp:posOffset>3234690</wp:posOffset>
                </wp:positionH>
                <wp:positionV relativeFrom="paragraph">
                  <wp:posOffset>25400</wp:posOffset>
                </wp:positionV>
                <wp:extent cx="572770" cy="137160"/>
                <wp:wrapSquare wrapText="left"/>
                <wp:docPr id="137" name="Forme 137"/>
                <a:graphic xmlns:a="http://schemas.openxmlformats.org/drawingml/2006/main">
                  <a:graphicData uri="http://schemas.microsoft.com/office/word/2010/wordprocessingShape">
                    <wps:wsp>
                      <wps:cNvSpPr txBox="1"/>
                      <wps:spPr>
                        <a:xfrm>
                          <a:ext cx="572770" cy="137160"/>
                        </a:xfrm>
                        <a:prstGeom prst="rect"/>
                        <a:noFill/>
                      </wps:spPr>
                      <wps:txbx>
                        <w:txbxContent>
                          <w:p>
                            <w:pPr>
                              <w:pStyle w:val="Style110"/>
                              <w:keepNext w:val="0"/>
                              <w:keepLines w:val="0"/>
                              <w:widowControl w:val="0"/>
                              <w:shd w:val="clear" w:color="auto" w:fill="auto"/>
                              <w:spacing w:before="0" w:after="0" w:line="240" w:lineRule="auto"/>
                              <w:ind w:left="0" w:right="0" w:firstLine="0"/>
                              <w:jc w:val="left"/>
                            </w:pPr>
                            <w:r>
                              <w:rPr>
                                <w:rStyle w:val="CharStyle111"/>
                              </w:rPr>
                              <w:t xml:space="preserve">fison André</w:t>
                            </w:r>
                          </w:p>
                        </w:txbxContent>
                      </wps:txbx>
                      <wps:bodyPr wrap="none" lIns="0" tIns="0" rIns="0" bIns="0">
                        <a:noAutoFit/>
                      </wps:bodyPr>
                    </wps:wsp>
                  </a:graphicData>
                </a:graphic>
              </wp:anchor>
            </w:drawing>
          </mc:Choice>
        </mc:AlternateContent>
      </w:r>
      <w:r>
        <mc:AlternateContent>
          <mc:Choice Requires="wps">
            <w:drawing>
              <wp:anchor distT="152400" distB="0" distL="3238500" distR="114300" simplePos="0" relativeHeight="125829450" behindDoc="0" locked="0" layoutInCell="1" allowOverlap="1">
                <wp:simplePos x="0" y="0"/>
                <wp:positionH relativeFrom="page">
                  <wp:posOffset>6358890</wp:posOffset>
                </wp:positionH>
                <wp:positionV relativeFrom="paragraph">
                  <wp:posOffset>177800</wp:posOffset>
                </wp:positionV>
                <wp:extent cx="228600" cy="128270"/>
                <wp:wrapSquare wrapText="left"/>
                <wp:docPr id="139" name="Forme 139"/>
                <a:graphic xmlns:a="http://schemas.openxmlformats.org/drawingml/2006/main">
                  <a:graphicData uri="http://schemas.microsoft.com/office/word/2010/wordprocessingShape">
                    <wps:wsp>
                      <wps:cNvSpPr txBox="1"/>
                      <wps:spPr>
                        <a:xfrm>
                          <a:ext cx="228600" cy="128270"/>
                        </a:xfrm>
                        <a:prstGeom prst="rect"/>
                        <a:noFill/>
                      </wps:spPr>
                      <wps:txbx>
                        <w:txbxContent>
                          <w:p>
                            <w:pPr>
                              <w:pStyle w:val="Style36"/>
                              <w:keepNext w:val="0"/>
                              <w:keepLines w:val="0"/>
                              <w:widowControl w:val="0"/>
                              <w:shd w:val="clear" w:color="auto" w:fill="auto"/>
                              <w:spacing w:before="0" w:after="0" w:line="240" w:lineRule="auto"/>
                              <w:ind w:left="0" w:right="0" w:firstLine="0"/>
                              <w:jc w:val="left"/>
                            </w:pPr>
                            <w:r>
                              <w:rPr>
                                <w:rStyle w:val="CharStyle37"/>
                                <w:color w:val="464648"/>
                              </w:rPr>
                              <w:t xml:space="preserve">« Jeff</w:t>
                            </w:r>
                          </w:p>
                        </w:txbxContent>
                      </wps:txbx>
                      <wps:bodyPr wrap="none" lIns="0" tIns="0" rIns="0" bIns="0">
                        <a:noAutoFit/>
                      </wps:bodyPr>
                    </wps:wsp>
                  </a:graphicData>
                </a:graphic>
              </wp:anchor>
            </w:drawing>
          </mc:Choice>
        </mc:AlternateContent>
      </w:r>
      <w:r>
        <w:rPr>
          <w:rStyle w:val="CharStyle25"/>
          <w:smallCaps/>
          <w:color w:val="464648"/>
          <w:sz w:val="20"/>
        </w:rPr>
        <w:t xml:space="preserve">à :</w:t>
      </w:r>
    </w:p>
    <w:p>
      <w:pPr>
        <w:pStyle w:val="Style18"/>
        <w:keepNext w:val="0"/>
        <w:keepLines w:val="0"/>
        <w:widowControl w:val="0"/>
        <w:shd w:val="clear" w:color="auto" w:fill="auto"/>
        <w:tabs>
          <w:tab w:pos="763" w:val="left"/>
        </w:tabs>
        <w:spacing w:before="0" w:after="60" w:line="240" w:lineRule="auto"/>
        <w:ind w:left="0" w:right="0" w:firstLine="0"/>
        <w:jc w:val="left"/>
        <w:rPr>
          <w:sz w:val="12"/>
        </w:rPr>
      </w:pPr>
      <w:r>
        <w:rPr>
          <w:rStyle w:val="CharStyle19"/>
          <w:rFonts w:ascii="Arial" w:hAnsi="Arial" w:cs="Arial" w:eastAsia="Arial"/>
          <w:color w:val="303030"/>
          <w:sz w:val="12"/>
        </w:rPr>
        <w:t xml:space="preserve">Ct :</w:t>
        <w:tab/>
        <w:t xml:space="preserve">: «T--</w:t>
      </w:r>
      <w:r>
        <w:rPr>
          <w:rStyle w:val="CharStyle19"/>
          <w:rFonts w:ascii="Arial" w:hAnsi="Arial" w:cs="Arial" w:eastAsia="Arial"/>
          <w:color w:val="303030"/>
          <w:sz w:val="12"/>
          <w:vertAlign w:val="superscript"/>
        </w:rPr>
        <w:t>1</w:t>
      </w:r>
    </w:p>
    <w:p>
      <w:pPr>
        <w:pStyle w:val="Style36"/>
        <w:keepNext w:val="0"/>
        <w:keepLines w:val="0"/>
        <w:widowControl w:val="0"/>
        <w:shd w:val="clear" w:color="auto" w:fill="auto"/>
        <w:spacing w:before="0" w:after="0" w:line="295" w:lineRule="auto"/>
        <w:ind w:left="0" w:right="0" w:firstLine="0"/>
        <w:jc w:val="left"/>
      </w:pPr>
      <w:r>
        <w:rPr>
          <w:rStyle w:val="CharStyle37"/>
          <w:color w:val="464648"/>
        </w:rPr>
        <w:t>Sturchio'</w:t>
      </w:r>
    </w:p>
    <w:p>
      <w:pPr>
        <w:pStyle w:val="Style36"/>
        <w:keepNext w:val="0"/>
        <w:keepLines w:val="0"/>
        <w:widowControl w:val="0"/>
        <w:shd w:val="clear" w:color="auto" w:fill="auto"/>
        <w:spacing w:before="0" w:after="0" w:line="295" w:lineRule="auto"/>
        <w:ind w:left="0" w:right="0" w:firstLine="0"/>
        <w:jc w:val="left"/>
      </w:pPr>
      <w:r>
        <w:rPr>
          <w:rStyle w:val="CharStyle37"/>
          <w:color w:val="464648"/>
        </w:rPr>
        <w:t xml:space="preserve">Objet: RE : [EXT] EcoHealth Alliance - Calendrier des entrevues</w:t>
      </w:r>
    </w:p>
    <w:p>
      <w:pPr>
        <w:pStyle w:val="Style36"/>
        <w:keepNext w:val="0"/>
        <w:keepLines w:val="0"/>
        <w:widowControl w:val="0"/>
        <w:shd w:val="clear" w:color="auto" w:fill="auto"/>
        <w:spacing w:before="0" w:after="220" w:line="295" w:lineRule="auto"/>
        <w:ind w:left="0" w:right="0" w:firstLine="0"/>
        <w:jc w:val="left"/>
      </w:pPr>
      <w:r>
        <w:rPr>
          <w:rStyle w:val="CharStyle37"/>
          <w:color w:val="464648"/>
        </w:rPr>
        <w:t xml:space="preserve">Importance: Élevé</w:t>
      </w:r>
    </w:p>
    <w:p>
      <w:pPr>
        <w:pStyle w:val="Style36"/>
        <w:keepNext w:val="0"/>
        <w:keepLines w:val="0"/>
        <w:widowControl w:val="0"/>
        <w:shd w:val="clear" w:color="auto" w:fill="auto"/>
        <w:spacing w:before="0" w:after="220" w:line="295" w:lineRule="auto"/>
        <w:ind w:left="0" w:right="0" w:firstLine="0"/>
        <w:jc w:val="left"/>
      </w:pPr>
      <w:r>
        <w:rPr>
          <w:rStyle w:val="CharStyle37"/>
          <w:color w:val="464648"/>
        </w:rPr>
        <w:t xml:space="preserve">Terminé tout à l'heure. Vous trouverez ci-joint les corrections.</w:t>
      </w:r>
    </w:p>
    <w:p>
      <w:pPr>
        <w:pStyle w:val="Style36"/>
        <w:keepNext w:val="0"/>
        <w:keepLines w:val="0"/>
        <w:widowControl w:val="0"/>
        <w:shd w:val="clear" w:color="auto" w:fill="auto"/>
        <w:spacing w:before="0" w:after="220" w:line="300" w:lineRule="auto"/>
        <w:ind w:left="0" w:right="0" w:firstLine="0"/>
        <w:jc w:val="left"/>
      </w:pPr>
      <w:r>
        <w:rPr>
          <w:rStyle w:val="CharStyle37"/>
          <w:color w:val="464648"/>
        </w:rPr>
        <w:t xml:space="preserve">C'était une lecture joyeuse - un peu comme un roman policier de Colombo - où le comité est Colombo, et je suis le criminel sans esprit...</w:t>
      </w:r>
    </w:p>
    <w:p>
      <w:pPr>
        <w:pStyle w:val="Style36"/>
        <w:keepNext w:val="0"/>
        <w:keepLines w:val="0"/>
        <w:widowControl w:val="0"/>
        <w:shd w:val="clear" w:color="auto" w:fill="auto"/>
        <w:spacing w:before="0" w:after="460" w:line="290" w:lineRule="auto"/>
        <w:ind w:left="0" w:right="0" w:firstLine="0"/>
        <w:jc w:val="left"/>
      </w:pPr>
      <w:r>
        <w:rPr>
          <w:rStyle w:val="CharStyle37"/>
          <w:color w:val="464648"/>
        </w:rPr>
        <w:t xml:space="preserve">Jeff - Je vais envoyer à Aleksei toutes les captures d'écran de chacun des problèmes dont je pense que les gens vont essayer de faire des nouvelles, et une note de ce qu'ils représentent. Vous pouvez voir les numéros de page dans les captures d’écran, non pas directement sur la page, mais dans le cadre DocSend. Vous devrez peut-être agrandir chaque image, ce qui est ennuyeux, mais au moins vous les verrez</w:t>
      </w:r>
    </w:p>
    <w:p>
      <w:pPr>
        <w:pStyle w:val="Style24"/>
        <w:keepNext w:val="0"/>
        <w:keepLines w:val="0"/>
        <w:widowControl w:val="0"/>
        <w:shd w:val="clear" w:color="auto" w:fill="auto"/>
        <w:spacing w:before="0" w:after="320" w:line="264" w:lineRule="auto"/>
        <w:ind w:left="0" w:right="0" w:firstLine="740"/>
        <w:jc w:val="left"/>
      </w:pPr>
      <w:r>
        <w:rPr>
          <w:rStyle w:val="CharStyle25"/>
        </w:rPr>
        <w:t xml:space="preserve">Encore une fois, ces actions soulèvent de sérieuses questions quant à l’intégrité du Dr Daszak et continuent de soutenir qu’il n’est pas un bon intendant de l’argent des contribuables.</w:t>
      </w:r>
    </w:p>
    <w:p>
      <w:pPr>
        <w:pStyle w:val="Style24"/>
        <w:keepNext w:val="0"/>
        <w:keepLines w:val="0"/>
        <w:widowControl w:val="0"/>
        <w:shd w:val="clear" w:color="auto" w:fill="auto"/>
        <w:spacing w:before="0" w:after="320" w:line="240" w:lineRule="auto"/>
        <w:ind w:left="0" w:right="0" w:firstLine="0"/>
        <w:jc w:val="left"/>
      </w:pPr>
      <w:r>
        <w:rPr>
          <w:rStyle w:val="CharStyle25"/>
        </w:rPr>
        <w:t xml:space="preserve">CONSTATATION : EcoHealth Alliance, Inc. a étudié des documents qu'elle a rendus publics.</w:t>
      </w:r>
    </w:p>
    <w:p>
      <w:pPr>
        <w:pStyle w:val="Style24"/>
        <w:keepNext w:val="0"/>
        <w:keepLines w:val="0"/>
        <w:widowControl w:val="0"/>
        <w:shd w:val="clear" w:color="auto" w:fill="auto"/>
        <w:spacing w:before="0" w:after="2760" w:line="259" w:lineRule="auto"/>
        <w:ind w:left="0" w:right="0" w:firstLine="740"/>
        <w:jc w:val="left"/>
      </w:pPr>
      <w:r>
        <w:rPr>
          <w:rStyle w:val="CharStyle25"/>
        </w:rPr>
        <w:t xml:space="preserve">Le 7 avril 2024, le sous-comité restreint a reçu un conseil concernant les communications du Dr Daszak, du Dr Morens et du Dr Keusch concernant les activités de recherche d’EcoHealth, y compris sur Gmail du Dr Morens.</w:t>
        <w:footnoteReference w:id="360"/>
        <w:t xml:space="preserve"> Le conseil comprenait les en-têtes d'e-mail suivants:</w:t>
      </w:r>
    </w:p>
    <w:p>
      <w:pPr>
        <w:pStyle w:val="Style24"/>
        <w:keepNext w:val="0"/>
        <w:keepLines w:val="0"/>
        <w:widowControl w:val="0"/>
        <w:shd w:val="clear" w:color="auto" w:fill="auto"/>
        <w:spacing w:before="0" w:after="22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tbl>
      <w:tblPr>
        <w:tblOverlap w:val="never"/>
        <w:jc w:val="center"/>
        <w:tblLayout w:type="fixed"/>
      </w:tblPr>
      <w:tblGrid>
        <w:gridCol w:w="3811"/>
      </w:tblGrid>
      <w:tr>
        <w:trPr>
          <w:trHeight w:val="278" w:hRule="exact"/>
        </w:trPr>
        <w:tc>
          <w:tcPr>
            <w:tcBorders>
              <w:left w:val="single" w:sz="4"/>
            </w:tcBorders>
            <w:shd w:val="clear" w:color="auto" w:fill="auto"/>
            <w:vAlign w:val="bottom"/>
          </w:tcPr>
          <w:p>
            <w:pPr>
              <w:pStyle w:val="Style18"/>
              <w:keepNext w:val="0"/>
              <w:keepLines w:val="0"/>
              <w:widowControl w:val="0"/>
              <w:shd w:val="clear" w:color="auto" w:fill="auto"/>
              <w:tabs>
                <w:tab w:pos="1157" w:val="left"/>
              </w:tabs>
              <w:spacing w:before="0" w:after="0" w:line="240" w:lineRule="auto"/>
              <w:ind w:left="0" w:right="0" w:firstLine="0"/>
              <w:jc w:val="center"/>
            </w:pPr>
            <w:r>
              <w:rPr>
                <w:rStyle w:val="CharStyle19"/>
                <w:rFonts w:ascii="Arial" w:hAnsi="Arial" w:cs="Arial" w:eastAsia="Arial"/>
                <w:sz w:val="16"/>
              </w:rPr>
              <w:t>:</w:t>
              <w:tab/>
              <w:t xml:space="preserve">⁇ ■&lt; &lt; l ' 'V</w:t>
            </w:r>
            <w:r>
              <w:rPr>
                <w:rStyle w:val="CharStyle19"/>
                <w:rFonts w:ascii="Arial" w:hAnsi="Arial" w:cs="Arial" w:eastAsia="Arial"/>
                <w:sz w:val="16"/>
                <w:vertAlign w:val="superscript"/>
              </w:rPr>
              <w:t>1</w:t>
            </w:r>
            <w:r>
              <w:rPr>
                <w:rStyle w:val="CharStyle19"/>
                <w:rFonts w:ascii="Arial" w:hAnsi="Arial" w:cs="Arial" w:eastAsia="Arial"/>
                <w:sz w:val="16"/>
              </w:rPr>
              <w:t xml:space="preserve">' ' b .'1 </w:t>
            </w:r>
            <w:r>
              <w:rPr>
                <w:rStyle w:val="CharStyle19"/>
                <w:i/>
              </w:rPr>
              <w:t xml:space="preserve">t Z.</w:t>
            </w:r>
          </w:p>
        </w:tc>
      </w:tr>
      <w:tr>
        <w:trPr>
          <w:trHeight w:val="202" w:hRule="exact"/>
        </w:trPr>
        <w:tc>
          <w:tcPr>
            <w:tcBorders>
              <w:left w:val="single" w:sz="4"/>
            </w:tcBorders>
            <w:shd w:val="clear" w:color="auto" w:fill="auto"/>
            <w:vAlign w:val="top"/>
          </w:tcPr>
          <w:p>
            <w:pPr>
              <w:pStyle w:val="Style18"/>
              <w:keepNext w:val="0"/>
              <w:keepLines w:val="0"/>
              <w:widowControl w:val="0"/>
              <w:shd w:val="clear" w:color="auto" w:fill="auto"/>
              <w:spacing w:before="0" w:after="0" w:line="240" w:lineRule="auto"/>
              <w:ind w:left="0" w:right="0" w:firstLine="0"/>
              <w:jc w:val="left"/>
            </w:pPr>
            <w:r>
              <w:rPr>
                <w:rStyle w:val="CharStyle19"/>
                <w:color w:val="303030"/>
                <w:sz w:val="17"/>
              </w:rPr>
              <w:t xml:space="preserve">Envoyé: </w:t>
            </w:r>
            <w:r>
              <w:rPr>
                <w:rStyle w:val="CharStyle19"/>
                <w:color w:val="464648"/>
                <w:sz w:val="17"/>
              </w:rPr>
              <w:t xml:space="preserve">13/07/2020 9:2</w:t>
            </w:r>
            <w:r>
              <w:rPr>
                <w:rStyle w:val="CharStyle19"/>
                <w:color w:val="303030"/>
                <w:sz w:val="17"/>
              </w:rPr>
              <w:t>1:23</w:t>
            </w:r>
            <w:r>
              <w:rPr>
                <w:rStyle w:val="CharStyle19"/>
                <w:color w:val="464648"/>
                <w:sz w:val="17"/>
              </w:rPr>
              <w:t xml:space="preserve"> </w:t>
            </w:r>
            <w:r>
              <w:rPr>
                <w:rStyle w:val="CharStyle19"/>
                <w:smallCaps/>
              </w:rPr>
              <w:t>PkHqOO^^^^^^</w:t>
            </w:r>
          </w:p>
        </w:tc>
      </w:tr>
    </w:tbl>
    <w:p>
      <w:pPr>
        <w:pStyle w:val="Style110"/>
        <w:keepNext w:val="0"/>
        <w:keepLines w:val="0"/>
        <w:widowControl w:val="0"/>
        <w:shd w:val="clear" w:color="auto" w:fill="auto"/>
        <w:spacing w:before="0" w:after="0" w:line="254" w:lineRule="auto"/>
        <w:ind w:left="1120" w:right="0" w:firstLine="0"/>
        <w:jc w:val="left"/>
      </w:pPr>
      <w:r>
        <w:rPr>
          <w:rStyle w:val="CharStyle111"/>
          <w:color w:val="303030"/>
        </w:rPr>
        <w:t xml:space="preserve">À l'attention de: "Keusch.</w:t>
      </w:r>
    </w:p>
    <w:p>
      <w:pPr>
        <w:pStyle w:val="Style110"/>
        <w:keepNext w:val="0"/>
        <w:keepLines w:val="0"/>
        <w:widowControl w:val="0"/>
        <w:shd w:val="clear" w:color="auto" w:fill="auto"/>
        <w:spacing w:before="0" w:after="0" w:line="254" w:lineRule="auto"/>
        <w:ind w:left="1120" w:right="0" w:firstLine="0"/>
        <w:jc w:val="both"/>
      </w:pPr>
      <w:r>
        <w:rPr>
          <w:rStyle w:val="CharStyle111"/>
          <w:color w:val="303030"/>
        </w:rPr>
        <w:t>CC</w:t>
      </w:r>
      <w:r>
        <w:rPr>
          <w:rStyle w:val="CharStyle111"/>
        </w:rPr>
        <w:t xml:space="preserve">: </w:t>
      </w:r>
      <w:r>
        <w:rPr>
          <w:rStyle w:val="CharStyle111"/>
          <w:color w:val="303030"/>
        </w:rPr>
        <w:t xml:space="preserve">Peter Daszak</w:t>
      </w:r>
    </w:p>
    <w:p>
      <w:pPr>
        <w:pStyle w:val="Style110"/>
        <w:keepNext w:val="0"/>
        <w:keepLines w:val="0"/>
        <w:widowControl w:val="0"/>
        <w:shd w:val="clear" w:color="auto" w:fill="auto"/>
        <w:spacing w:before="0" w:after="1720" w:line="254" w:lineRule="auto"/>
        <w:ind w:left="1120" w:right="0" w:firstLine="0"/>
        <w:jc w:val="left"/>
      </w:pPr>
      <w:r>
        <w:drawing>
          <wp:anchor distT="0" distB="0" distL="8890" distR="844550" simplePos="0" relativeHeight="125829452" behindDoc="0" locked="0" layoutInCell="1" allowOverlap="1">
            <wp:simplePos x="0" y="0"/>
            <wp:positionH relativeFrom="page">
              <wp:posOffset>1687195</wp:posOffset>
            </wp:positionH>
            <wp:positionV relativeFrom="paragraph">
              <wp:posOffset>660400</wp:posOffset>
            </wp:positionV>
            <wp:extent cx="2450465" cy="804545"/>
            <wp:wrapTight wrapText="right">
              <wp:wrapPolygon>
                <wp:start x="9630" y="0"/>
                <wp:lineTo x="21600" y="0"/>
                <wp:lineTo x="21600" y="19145"/>
                <wp:lineTo x="161" y="19145"/>
                <wp:lineTo x="161" y="21600"/>
                <wp:lineTo x="0" y="21600"/>
                <wp:lineTo x="0" y="14482"/>
                <wp:lineTo x="7586" y="14482"/>
                <wp:lineTo x="7586" y="10882"/>
                <wp:lineTo x="9630" y="10882"/>
                <wp:lineTo x="9630" y="0"/>
              </wp:wrapPolygon>
            </wp:wrapTight>
            <wp:docPr id="141" name="Forme 141"/>
            <a:graphic xmlns:a="http://schemas.openxmlformats.org/drawingml/2006/main">
              <a:graphicData uri="http://schemas.openxmlformats.org/drawingml/2006/picture">
                <pic:pic xmlns:pic="http://schemas.openxmlformats.org/drawingml/2006/picture">
                  <pic:nvPicPr>
                    <pic:cNvPr id="142" name="Boîte d'images 142"/>
                    <pic:cNvPicPr/>
                  </pic:nvPicPr>
                  <pic:blipFill>
                    <a:blip r:embed="rId64"/>
                    <a:stretch/>
                  </pic:blipFill>
                  <pic:spPr>
                    <a:xfrm>
                      <a:ext cx="2450465" cy="804545"/>
                    </a:xfrm>
                    <a:prstGeom prst="rect"/>
                  </pic:spPr>
                </pic:pic>
              </a:graphicData>
            </a:graphic>
          </wp:anchor>
        </w:drawing>
      </w:r>
      <w:r>
        <mc:AlternateContent>
          <mc:Choice Requires="wps">
            <w:drawing>
              <wp:anchor distT="0" distB="0" distL="0" distR="0" simplePos="0" relativeHeight="503316516" behindDoc="0" locked="0" layoutInCell="1" allowOverlap="1">
                <wp:simplePos x="0" y="0"/>
                <wp:positionH relativeFrom="page">
                  <wp:posOffset>4125595</wp:posOffset>
                </wp:positionH>
                <wp:positionV relativeFrom="paragraph">
                  <wp:posOffset>1080770</wp:posOffset>
                </wp:positionV>
                <wp:extent cx="853440" cy="140335"/>
                <wp:wrapNone/>
                <wp:docPr id="143" name="Forme 143"/>
                <a:graphic xmlns:a="http://schemas.openxmlformats.org/drawingml/2006/main">
                  <a:graphicData uri="http://schemas.microsoft.com/office/word/2010/wordprocessingShape">
                    <wps:wsp>
                      <wps:cNvSpPr txBox="1"/>
                      <wps:spPr>
                        <a:xfrm>
                          <a:ext cx="853440" cy="140335"/>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17"/>
                              </w:rPr>
                            </w:pPr>
                            <w:r>
                              <w:rPr>
                                <w:rStyle w:val="CharStyle28"/>
                                <w:rFonts w:ascii="Times New Roman" w:hAnsi="Times New Roman" w:cs="Times New Roman" w:eastAsia="Times New Roman"/>
                                <w:color w:val="303030"/>
                                <w:sz w:val="17"/>
                              </w:rPr>
                              <w:t xml:space="preserve">; Aleksei Chmura</w:t>
                            </w:r>
                          </w:p>
                        </w:txbxContent>
                      </wps:txbx>
                      <wps:bodyPr lIns="0" tIns="0" rIns="0" bIns="0">
                        <a:noAutoFit/>
                      </wps:bodyPr>
                    </wps:wsp>
                  </a:graphicData>
                </a:graphic>
              </wp:anchor>
            </w:drawing>
          </mc:Choice>
        </mc:AlternateContent>
      </w:r>
      <w:r>
        <mc:AlternateContent>
          <mc:Choice Requires="wps">
            <w:drawing>
              <wp:anchor distT="0" distB="0" distL="0" distR="0" simplePos="0" relativeHeight="503316518" behindDoc="0" locked="0" layoutInCell="1" allowOverlap="1">
                <wp:simplePos x="0" y="0"/>
                <wp:positionH relativeFrom="page">
                  <wp:posOffset>1678305</wp:posOffset>
                </wp:positionH>
                <wp:positionV relativeFrom="paragraph">
                  <wp:posOffset>678815</wp:posOffset>
                </wp:positionV>
                <wp:extent cx="1121410" cy="551815"/>
                <wp:wrapNone/>
                <wp:docPr id="145" name="Forme 145"/>
                <a:graphic xmlns:a="http://schemas.openxmlformats.org/drawingml/2006/main">
                  <a:graphicData uri="http://schemas.microsoft.com/office/word/2010/wordprocessingShape">
                    <wps:wsp>
                      <wps:cNvSpPr txBox="1"/>
                      <wps:spPr>
                        <a:xfrm>
                          <a:ext cx="1121410" cy="551815"/>
                        </a:xfrm>
                        <a:prstGeom prst="rect"/>
                        <a:noFill/>
                      </wps:spPr>
                      <wps:txbx>
                        <w:txbxContent>
                          <w:p>
                            <w:pPr>
                              <w:pStyle w:val="Style27"/>
                              <w:keepNext w:val="0"/>
                              <w:keepLines w:val="0"/>
                              <w:widowControl w:val="0"/>
                              <w:shd w:val="clear" w:color="auto" w:fill="auto"/>
                              <w:spacing w:before="0" w:after="0" w:line="262" w:lineRule="auto"/>
                              <w:ind w:left="0" w:right="0" w:firstLine="0"/>
                              <w:jc w:val="both"/>
                              <w:rPr>
                                <w:sz w:val="17"/>
                              </w:rPr>
                            </w:pPr>
                            <w:r>
                              <w:rPr>
                                <w:rStyle w:val="CharStyle28"/>
                                <w:rFonts w:ascii="Times New Roman" w:hAnsi="Times New Roman" w:cs="Times New Roman" w:eastAsia="Times New Roman"/>
                                <w:color w:val="303030"/>
                                <w:sz w:val="17"/>
                              </w:rPr>
                              <w:t xml:space="preserve">À partir de: "David Morens" envoyé: 26/04/2020 9:29:2 À: «Keusch, Gerald T</w:t>
                            </w:r>
                            <w:r>
                              <w:rPr>
                                <w:rStyle w:val="CharStyle28"/>
                                <w:rFonts w:ascii="Times New Roman" w:hAnsi="Times New Roman" w:cs="Times New Roman" w:eastAsia="Times New Roman"/>
                                <w:color w:val="303030"/>
                                <w:sz w:val="17"/>
                                <w:vertAlign w:val="superscript"/>
                              </w:rPr>
                              <w:t xml:space="preserve">1 </w:t>
                            </w:r>
                            <w:r>
                              <w:rPr>
                                <w:rStyle w:val="CharStyle28"/>
                                <w:rFonts w:ascii="Times New Roman" w:hAnsi="Times New Roman" w:cs="Times New Roman" w:eastAsia="Times New Roman"/>
                                <w:color w:val="303030"/>
                                <w:sz w:val="17"/>
                              </w:rPr>
                              <w:t xml:space="preserve">CC: Peter Daszak</w:t>
                            </w:r>
                          </w:p>
                        </w:txbxContent>
                      </wps:txbx>
                      <wps:bodyPr lIns="0" tIns="0" rIns="0" bIns="0">
                        <a:noAutoFit/>
                      </wps:bodyPr>
                    </wps:wsp>
                  </a:graphicData>
                </a:graphic>
              </wp:anchor>
            </w:drawing>
          </mc:Choice>
        </mc:AlternateContent>
      </w:r>
      <w:r>
        <w:rPr>
          <w:rStyle w:val="CharStyle111"/>
          <w:color w:val="303030"/>
        </w:rPr>
        <w:t xml:space="preserve">Objet: En ce qui concerne: PRO'A1LEDR&gt; Mise à jour COVID-19 (312): La Chine. Origine du SARS-CoV2, réservoir animal. Mission de l'OMS</w:t>
      </w:r>
    </w:p>
    <w:p>
      <w:pPr>
        <w:pStyle w:val="Style110"/>
        <w:keepNext w:val="0"/>
        <w:keepLines w:val="0"/>
        <w:widowControl w:val="0"/>
        <w:shd w:val="clear" w:color="auto" w:fill="auto"/>
        <w:spacing w:before="0" w:after="640" w:line="254" w:lineRule="auto"/>
        <w:ind w:left="1120" w:right="0" w:hanging="1120"/>
        <w:jc w:val="left"/>
      </w:pPr>
      <w:r>
        <w:drawing>
          <wp:anchor distT="0" distB="0" distL="0" distR="0" simplePos="0" relativeHeight="125829453" behindDoc="0" locked="0" layoutInCell="1" allowOverlap="1">
            <wp:simplePos x="0" y="0"/>
            <wp:positionH relativeFrom="page">
              <wp:posOffset>2708910</wp:posOffset>
            </wp:positionH>
            <wp:positionV relativeFrom="paragraph">
              <wp:posOffset>660400</wp:posOffset>
            </wp:positionV>
            <wp:extent cx="1256030" cy="255905"/>
            <wp:wrapTight wrapText="left">
              <wp:wrapPolygon>
                <wp:start x="0" y="0"/>
                <wp:lineTo x="21600" y="0"/>
                <wp:lineTo x="21600" y="21600"/>
                <wp:lineTo x="1314" y="21600"/>
                <wp:lineTo x="1314" y="14657"/>
                <wp:lineTo x="0" y="14657"/>
                <wp:lineTo x="0" y="0"/>
              </wp:wrapPolygon>
            </wp:wrapTight>
            <wp:docPr id="147" name="Forme 147"/>
            <a:graphic xmlns:a="http://schemas.openxmlformats.org/drawingml/2006/main">
              <a:graphicData uri="http://schemas.openxmlformats.org/drawingml/2006/picture">
                <pic:pic xmlns:pic="http://schemas.openxmlformats.org/drawingml/2006/picture">
                  <pic:nvPicPr>
                    <pic:cNvPr id="148" name="Boîte à images 148"/>
                    <pic:cNvPicPr/>
                  </pic:nvPicPr>
                  <pic:blipFill>
                    <a:blip r:embed="rId66"/>
                    <a:stretch/>
                  </pic:blipFill>
                  <pic:spPr>
                    <a:xfrm>
                      <a:ext cx="1256030" cy="255905"/>
                    </a:xfrm>
                    <a:prstGeom prst="rect"/>
                  </pic:spPr>
                </pic:pic>
              </a:graphicData>
            </a:graphic>
          </wp:anchor>
        </w:drawing>
      </w:r>
      <w:r>
        <w:rPr>
          <w:rStyle w:val="CharStyle111"/>
          <w:color w:val="303030"/>
        </w:rPr>
        <w:t xml:space="preserve">Objet: En ce qui concerne: VEUILLEZ LIRE </w:t>
      </w:r>
      <w:r>
        <w:rPr>
          <w:rStyle w:val="CharStyle111"/>
          <w:color w:val="000000"/>
        </w:rPr>
        <w:t xml:space="preserve">— </w:t>
      </w:r>
      <w:r>
        <w:rPr>
          <w:rStyle w:val="CharStyle111"/>
          <w:color w:val="303030"/>
        </w:rPr>
        <w:t xml:space="preserve">Re: Veuillez lire et accuser réception </w:t>
      </w:r>
      <w:r>
        <w:rPr>
          <w:rStyle w:val="CharStyle111"/>
          <w:color w:val="000000"/>
        </w:rPr>
        <w:t xml:space="preserve">— </w:t>
      </w:r>
      <w:r>
        <w:rPr>
          <w:rStyle w:val="CharStyle111"/>
          <w:color w:val="303030"/>
        </w:rPr>
        <w:t xml:space="preserve">Actions nécessaires concernant 2R01 AI </w:t>
      </w:r>
      <w:r>
        <w:rPr>
          <w:rStyle w:val="CharStyle111"/>
        </w:rPr>
        <w:t>1</w:t>
      </w:r>
      <w:r>
        <w:rPr>
          <w:rStyle w:val="CharStyle111"/>
          <w:color w:val="303030"/>
        </w:rPr>
        <w:t>10964-06</w:t>
      </w:r>
    </w:p>
    <w:p>
      <w:pPr>
        <w:pStyle w:val="Style110"/>
        <w:keepNext w:val="0"/>
        <w:keepLines w:val="0"/>
        <w:widowControl w:val="0"/>
        <w:shd w:val="clear" w:color="auto" w:fill="auto"/>
        <w:spacing w:before="0" w:after="640" w:line="262" w:lineRule="auto"/>
        <w:ind w:left="1120" w:right="0" w:firstLine="0"/>
        <w:jc w:val="left"/>
      </w:pPr>
      <w:r>
        <w:drawing>
          <wp:anchor distT="0" distB="0" distL="0" distR="0" simplePos="0" relativeHeight="125829454" behindDoc="0" locked="0" layoutInCell="1" allowOverlap="1">
            <wp:simplePos x="0" y="0"/>
            <wp:positionH relativeFrom="page">
              <wp:posOffset>2516505</wp:posOffset>
            </wp:positionH>
            <wp:positionV relativeFrom="paragraph">
              <wp:posOffset>254000</wp:posOffset>
            </wp:positionV>
            <wp:extent cx="1578610" cy="255905"/>
            <wp:wrapTight wrapText="left">
              <wp:wrapPolygon>
                <wp:start x="3669" y="0"/>
                <wp:lineTo x="21600" y="0"/>
                <wp:lineTo x="21600" y="21600"/>
                <wp:lineTo x="0" y="21600"/>
                <wp:lineTo x="0" y="514"/>
                <wp:lineTo x="3669" y="514"/>
                <wp:lineTo x="3669" y="0"/>
              </wp:wrapPolygon>
            </wp:wrapTight>
            <wp:docPr id="149" name="Forme 149"/>
            <a:graphic xmlns:a="http://schemas.openxmlformats.org/drawingml/2006/main">
              <a:graphicData uri="http://schemas.openxmlformats.org/drawingml/2006/picture">
                <pic:pic xmlns:pic="http://schemas.openxmlformats.org/drawingml/2006/picture">
                  <pic:nvPicPr>
                    <pic:cNvPr id="150" name="Boîte à images 150"/>
                    <pic:cNvPicPr/>
                  </pic:nvPicPr>
                  <pic:blipFill>
                    <a:blip r:embed="rId68"/>
                    <a:stretch/>
                  </pic:blipFill>
                  <pic:spPr>
                    <a:xfrm>
                      <a:ext cx="1578610" cy="255905"/>
                    </a:xfrm>
                    <a:prstGeom prst="rect"/>
                  </pic:spPr>
                </pic:pic>
              </a:graphicData>
            </a:graphic>
          </wp:anchor>
        </w:drawing>
      </w:r>
      <w:r>
        <mc:AlternateContent>
          <mc:Choice Requires="wps">
            <w:drawing>
              <wp:anchor distT="0" distB="0" distL="114300" distR="114300" simplePos="0" relativeHeight="125829455" behindDoc="0" locked="0" layoutInCell="1" allowOverlap="1">
                <wp:simplePos x="0" y="0"/>
                <wp:positionH relativeFrom="page">
                  <wp:posOffset>4677410</wp:posOffset>
                </wp:positionH>
                <wp:positionV relativeFrom="paragraph">
                  <wp:posOffset>406400</wp:posOffset>
                </wp:positionV>
                <wp:extent cx="1362710" cy="149225"/>
                <wp:wrapSquare wrapText="left"/>
                <wp:docPr id="151" name="Forme 151"/>
                <a:graphic xmlns:a="http://schemas.openxmlformats.org/drawingml/2006/main">
                  <a:graphicData uri="http://schemas.microsoft.com/office/word/2010/wordprocessingShape">
                    <wps:wsp>
                      <wps:cNvSpPr txBox="1"/>
                      <wps:spPr>
                        <a:xfrm>
                          <a:ext cx="1362710" cy="149225"/>
                        </a:xfrm>
                        <a:prstGeom prst="rect"/>
                        <a:noFill/>
                      </wps:spPr>
                      <wps:txbx>
                        <w:txbxContent>
                          <w:p>
                            <w:pPr>
                              <w:pStyle w:val="Style110"/>
                              <w:keepNext w:val="0"/>
                              <w:keepLines w:val="0"/>
                              <w:widowControl w:val="0"/>
                              <w:shd w:val="clear" w:color="auto" w:fill="auto"/>
                              <w:spacing w:before="0" w:after="0" w:line="240" w:lineRule="auto"/>
                              <w:ind w:left="0" w:right="0" w:firstLine="0"/>
                              <w:jc w:val="left"/>
                            </w:pPr>
                            <w:r>
                              <w:rPr>
                                <w:rStyle w:val="CharStyle111"/>
                                <w:color w:val="303030"/>
                              </w:rPr>
                              <w:t xml:space="preserve">.ge receipt </w:t>
                            </w:r>
                            <w:r>
                              <w:rPr>
                                <w:rStyle w:val="CharStyle111"/>
                                <w:color w:val="000000"/>
                              </w:rPr>
                              <w:t xml:space="preserve">— </w:t>
                            </w:r>
                            <w:r>
                              <w:rPr>
                                <w:rStyle w:val="CharStyle111"/>
                                <w:color w:val="303030"/>
                              </w:rPr>
                              <w:t xml:space="preserve">Actions nécessaires</w:t>
                            </w:r>
                          </w:p>
                        </w:txbxContent>
                      </wps:txbx>
                      <wps:bodyPr wrap="none" lIns="0" tIns="0" rIns="0" bIns="0">
                        <a:noAutoFit/>
                      </wps:bodyPr>
                    </wps:wsp>
                  </a:graphicData>
                </a:graphic>
              </wp:anchor>
            </w:drawing>
          </mc:Choice>
        </mc:AlternateContent>
      </w:r>
      <w:r>
        <w:rPr>
          <w:rStyle w:val="CharStyle111"/>
          <w:color w:val="303030"/>
        </w:rPr>
        <w:t xml:space="preserve">À partir de: David Morens Envoyé: Dimanche, Ap</w:t>
      </w:r>
      <w:r>
        <w:rPr>
          <w:rStyle w:val="CharStyle111"/>
          <w:color w:val="303030"/>
          <w:u w:val="single"/>
        </w:rPr>
        <w:t xml:space="preserve">ril 26, </w:t>
      </w:r>
      <w:r>
        <w:rPr>
          <w:rStyle w:val="CharStyle111"/>
          <w:color w:val="303030"/>
        </w:rPr>
        <w:t xml:space="preserve">À: Peter Daszak Objet: En ce qui concerne: PLE concernant le document 2R01AI110964-06</w:t>
      </w:r>
    </w:p>
    <w:p>
      <w:pPr>
        <w:pStyle w:val="Style110"/>
        <w:keepNext w:val="0"/>
        <w:keepLines w:val="0"/>
        <w:widowControl w:val="0"/>
        <w:shd w:val="clear" w:color="auto" w:fill="auto"/>
        <w:spacing w:before="0" w:after="0"/>
        <w:ind w:left="1120" w:right="0" w:firstLine="0"/>
        <w:jc w:val="left"/>
      </w:pPr>
      <w:r>
        <w:rPr>
          <w:rStyle w:val="CharStyle111"/>
          <w:color w:val="303030"/>
        </w:rPr>
        <w:t xml:space="preserve">À partir de: « David Morens »</w:t>
      </w:r>
    </w:p>
    <w:p>
      <w:pPr>
        <w:pStyle w:val="Style110"/>
        <w:keepNext w:val="0"/>
        <w:keepLines w:val="0"/>
        <w:widowControl w:val="0"/>
        <w:shd w:val="clear" w:color="auto" w:fill="auto"/>
        <w:spacing w:before="0" w:after="0"/>
        <w:ind w:left="1120" w:right="0" w:firstLine="0"/>
        <w:jc w:val="both"/>
      </w:pPr>
      <w:r>
        <w:drawing>
          <wp:anchor distT="0" distB="0" distL="0" distR="0" simplePos="0" relativeHeight="125829457" behindDoc="0" locked="0" layoutInCell="1" allowOverlap="1">
            <wp:simplePos x="0" y="0"/>
            <wp:positionH relativeFrom="page">
              <wp:posOffset>2516505</wp:posOffset>
            </wp:positionH>
            <wp:positionV relativeFrom="paragraph">
              <wp:posOffset>114300</wp:posOffset>
            </wp:positionV>
            <wp:extent cx="1578610" cy="311150"/>
            <wp:wrapTight wrapText="left">
              <wp:wrapPolygon>
                <wp:start x="0" y="0"/>
                <wp:lineTo x="21600" y="0"/>
                <wp:lineTo x="21600" y="21600"/>
                <wp:lineTo x="584" y="21600"/>
                <wp:lineTo x="584" y="12071"/>
                <wp:lineTo x="0" y="12071"/>
                <wp:lineTo x="0" y="0"/>
              </wp:wrapPolygon>
            </wp:wrapTight>
            <wp:docPr id="153" name="Forme 153"/>
            <a:graphic xmlns:a="http://schemas.openxmlformats.org/drawingml/2006/main">
              <a:graphicData uri="http://schemas.openxmlformats.org/drawingml/2006/picture">
                <pic:pic xmlns:pic="http://schemas.openxmlformats.org/drawingml/2006/picture">
                  <pic:nvPicPr>
                    <pic:cNvPr id="154" name="Boîte à images 154"/>
                    <pic:cNvPicPr/>
                  </pic:nvPicPr>
                  <pic:blipFill>
                    <a:blip r:embed="rId70"/>
                    <a:stretch/>
                  </pic:blipFill>
                  <pic:spPr>
                    <a:xfrm>
                      <a:ext cx="1578610" cy="311150"/>
                    </a:xfrm>
                    <a:prstGeom prst="rect"/>
                  </pic:spPr>
                </pic:pic>
              </a:graphicData>
            </a:graphic>
          </wp:anchor>
        </w:drawing>
      </w:r>
      <w:r>
        <w:rPr>
          <w:rStyle w:val="CharStyle111"/>
          <w:color w:val="303030"/>
        </w:rPr>
        <w:t xml:space="preserve">Envoyé: 20/02/2022 10:08:29 +0000</w:t>
      </w:r>
    </w:p>
    <w:p>
      <w:pPr>
        <w:pStyle w:val="Style110"/>
        <w:keepNext w:val="0"/>
        <w:keepLines w:val="0"/>
        <w:widowControl w:val="0"/>
        <w:shd w:val="clear" w:color="auto" w:fill="auto"/>
        <w:spacing w:before="0" w:after="0"/>
        <w:ind w:left="1120" w:right="0" w:firstLine="0"/>
        <w:jc w:val="both"/>
      </w:pPr>
      <w:r>
        <w:rPr>
          <w:rStyle w:val="CharStyle111"/>
          <w:color w:val="303030"/>
        </w:rPr>
        <w:t xml:space="preserve">À l'attention de: Peter Daszak</w:t>
      </w:r>
    </w:p>
    <w:p>
      <w:pPr>
        <w:pStyle w:val="Style110"/>
        <w:keepNext w:val="0"/>
        <w:keepLines w:val="0"/>
        <w:widowControl w:val="0"/>
        <w:shd w:val="clear" w:color="auto" w:fill="auto"/>
        <w:spacing w:before="0" w:after="0"/>
        <w:ind w:left="1120" w:right="0" w:firstLine="0"/>
        <w:jc w:val="both"/>
      </w:pPr>
      <w:r>
        <w:rPr>
          <w:rStyle w:val="CharStyle111"/>
          <w:color w:val="303030"/>
        </w:rPr>
        <w:t xml:space="preserve">CC : Gerald Keusc</w:t>
      </w:r>
    </w:p>
    <w:p>
      <w:pPr>
        <w:pStyle w:val="Style110"/>
        <w:keepNext w:val="0"/>
        <w:keepLines w:val="0"/>
        <w:widowControl w:val="0"/>
        <w:shd w:val="clear" w:color="auto" w:fill="auto"/>
        <w:spacing w:before="0" w:after="720"/>
        <w:ind w:left="1120" w:right="0" w:firstLine="0"/>
        <w:jc w:val="left"/>
      </w:pPr>
      <w:r>
        <w:rPr>
          <w:rStyle w:val="CharStyle111"/>
          <w:color w:val="303030"/>
        </w:rPr>
        <w:t xml:space="preserve">Objet: En ce qui concerne: FW - e-mails déchirés Erik Stemmy pour dire qu'il est incapable de parler avec moi plus au sujet de notre suspendu R01</w:t>
      </w:r>
    </w:p>
    <w:p>
      <w:pPr>
        <w:pStyle w:val="Style24"/>
        <w:keepNext w:val="0"/>
        <w:keepLines w:val="0"/>
        <w:widowControl w:val="0"/>
        <w:shd w:val="clear" w:color="auto" w:fill="auto"/>
        <w:spacing w:before="0"/>
        <w:ind w:left="0" w:right="0" w:firstLine="740"/>
        <w:jc w:val="left"/>
      </w:pPr>
      <w:r>
        <w:rPr>
          <w:rStyle w:val="CharStyle25"/>
        </w:rPr>
        <w:t xml:space="preserve">En réponse, le sous-comité restreint a envoyé une demande de documents à l’université de Boston pour obtenir des documents réactifs de la part du Dr Keusch.</w:t>
        <w:footnoteReference w:id="361"/>
        <w:t xml:space="preserve">Après que le Dr Keusch a reçu la lettre, il a écrit: «[s]ur l’avis des avocats, cependant, j’ai cessé de supprimer tout ce qui pourrait être interprété comme figurant sur la liste des demandes du sous-comité [...]» et «[m]y plan – mais pas nécessairement celui que les avocats approuveront est raisonnable – est de dire au sous-comité que mes points de vue sont bien connus [...] [et] que j’ai le droit d’avoir des conversations privées».</w:t>
        <w:footnoteReference w:id="362"/>
        <w:t xml:space="preserve"> Malgré le plan du Dr Keusch, l’université de Boston a produit des documents réactifs à l’intention du sous-comité restreint.</w:t>
      </w:r>
    </w:p>
    <w:p>
      <w:pPr>
        <w:pStyle w:val="Style24"/>
        <w:keepNext w:val="0"/>
        <w:keepLines w:val="0"/>
        <w:widowControl w:val="0"/>
        <w:shd w:val="clear" w:color="auto" w:fill="auto"/>
        <w:spacing w:before="0" w:after="120" w:line="264" w:lineRule="auto"/>
        <w:ind w:left="0" w:right="0" w:firstLine="740"/>
        <w:jc w:val="left"/>
      </w:pPr>
      <w:r>
        <w:rPr>
          <w:rStyle w:val="CharStyle25"/>
        </w:rPr>
        <w:t xml:space="preserve">Le 12 avril 2024, en réponse à la lettre du sous-comité restreint, EcoHealth a publié un communiqué de presse indiquant que le rapport «[n’a] pas montré le texte intégral des courriels en question» et</w:t>
      </w:r>
      <w:r>
        <w:br w:type="page"/>
      </w:r>
    </w:p>
    <w:p>
      <w:pPr>
        <w:pStyle w:val="Style24"/>
        <w:keepNext w:val="0"/>
        <w:keepLines w:val="0"/>
        <w:widowControl w:val="0"/>
        <w:shd w:val="clear" w:color="auto" w:fill="auto"/>
        <w:spacing w:before="0" w:after="220" w:line="264" w:lineRule="auto"/>
        <w:ind w:left="0" w:right="0" w:firstLine="0"/>
        <w:jc w:val="left"/>
      </w:pPr>
      <w:r>
        <w:rPr>
          <w:rStyle w:val="CharStyle25"/>
        </w:rPr>
        <w:t xml:space="preserve">a prétendu divulguer «le texte intégral de ces chaînes de courrier électronique».</w:t>
        <w:footnoteReference w:id="363"/>
        <w:t xml:space="preserve"> En réalité, le Dr Daszak a personnellement falsifié certains des documents et n’a pas divulgué l’intégralité des chaînes complètes au public.</w:t>
      </w:r>
    </w:p>
    <w:p>
      <w:pPr>
        <w:widowControl w:val="0"/>
        <w:jc w:val="center"/>
        <w:rPr>
          <w:sz w:val="2"/>
        </w:rPr>
      </w:pPr>
      <w:r>
        <w:drawing>
          <wp:inline>
            <wp:extent cx="6022975" cy="4608830"/>
            <wp:docPr id="155" name="Picutre 155"/>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72"/>
                    <a:stretch/>
                  </pic:blipFill>
                  <pic:spPr>
                    <a:xfrm>
                      <a:ext cx="6022975" cy="4608830"/>
                    </a:xfrm>
                    <a:prstGeom prst="rect"/>
                  </pic:spPr>
                </pic:pic>
              </a:graphicData>
            </a:graphic>
          </wp:inline>
        </w:drawing>
      </w:r>
    </w:p>
    <w:p>
      <w:pPr>
        <w:widowControl w:val="0"/>
        <w:spacing w:after="1899" w:line="1" w:lineRule="exact"/>
      </w:pPr>
    </w:p>
    <w:p>
      <w:pPr>
        <w:pStyle w:val="Style24"/>
        <w:keepNext w:val="0"/>
        <w:keepLines w:val="0"/>
        <w:widowControl w:val="0"/>
        <w:shd w:val="clear" w:color="auto" w:fill="auto"/>
        <w:spacing w:before="0" w:after="0" w:line="240" w:lineRule="auto"/>
        <w:ind w:left="0" w:right="0" w:firstLine="0"/>
        <w:jc w:val="center"/>
        <w:sectPr>
          <w:footnotePr>
            <w:pos w:val="pageBottom"/>
            <w:numFmt w:val="decimal"/>
            <w:numStart w:val="1454"/>
            <w:numRestart w:val="continuous"/>
            <w15:footnoteColumns w:val="1"/>
          </w:footnotePr>
          <w:type w:val="continuous"/>
          <w:pgSz w:w="12485" w:h="16357"/>
          <w:pgMar w:top="1695" w:right="1542" w:bottom="1473" w:left="1462" w:header="1267" w:footer="3" w:gutter="0"/>
          <w:cols w:space="720"/>
          <w:noEndnote/>
          <w:rtlGutter w:val="0"/>
          <w:docGrid w:linePitch="360"/>
        </w:sectPr>
      </w:pPr>
      <w:r>
        <w:rPr>
          <w:rStyle w:val="CharStyle25"/>
        </w:rPr>
        <w:t xml:space="preserve">[REMAINDER OF PAGE INTENTIONALLY BLANK]</w:t>
      </w:r>
    </w:p>
    <w:p>
      <w:pPr>
        <w:pStyle w:val="Style57"/>
        <w:keepNext w:val="0"/>
        <w:keepLines w:val="0"/>
        <w:widowControl w:val="0"/>
        <w:shd w:val="clear" w:color="auto" w:fill="auto"/>
        <w:spacing w:before="0" w:after="0" w:line="240" w:lineRule="auto"/>
        <w:ind w:left="0" w:right="0" w:firstLine="720"/>
        <w:jc w:val="left"/>
      </w:pPr>
      <w:r>
        <w:rPr>
          <w:rStyle w:val="CharStyle58"/>
          <w:color w:val="000000"/>
        </w:rPr>
        <w:t xml:space="preserve">Peter Daszak</w:t>
      </w:r>
    </w:p>
    <w:p>
      <w:pPr>
        <w:pStyle w:val="Style36"/>
        <w:keepNext w:val="0"/>
        <w:keepLines w:val="0"/>
        <w:widowControl w:val="0"/>
        <w:shd w:val="clear" w:color="auto" w:fill="auto"/>
        <w:spacing w:before="0" w:after="0" w:line="240" w:lineRule="auto"/>
        <w:ind w:left="0" w:right="0" w:firstLine="220"/>
        <w:jc w:val="left"/>
      </w:pPr>
      <w:r>
        <w:rPr>
          <w:rStyle w:val="CharStyle37"/>
          <w:color w:val="000000"/>
        </w:rPr>
        <w:t xml:space="preserve">Envoyé: Jeudi 11 avril 2024 20h00</w:t>
      </w:r>
    </w:p>
    <w:p>
      <w:pPr>
        <w:pStyle w:val="Style36"/>
        <w:keepNext w:val="0"/>
        <w:keepLines w:val="0"/>
        <w:widowControl w:val="0"/>
        <w:shd w:val="clear" w:color="auto" w:fill="auto"/>
        <w:tabs>
          <w:tab w:pos="3594" w:val="left"/>
          <w:tab w:pos="6537" w:val="left"/>
        </w:tabs>
        <w:spacing w:before="0" w:after="0" w:line="240" w:lineRule="auto"/>
        <w:ind w:left="0" w:right="0" w:firstLine="220"/>
        <w:jc w:val="left"/>
      </w:pPr>
      <w:r>
        <w:rPr>
          <w:rStyle w:val="CharStyle37"/>
          <w:color w:val="000000"/>
        </w:rPr>
        <w:t xml:space="preserve">TP^Jeffre^turchio' </w:t>
      </w:r>
      <w:r>
        <w:rPr>
          <w:rStyle w:val="CharStyle37"/>
          <w:color w:val="000000"/>
          <w:u w:val="single"/>
        </w:rPr>
        <w:t xml:space="preserve">« David Morens »</w:t>
      </w:r>
      <w:r>
        <w:rPr>
          <w:rStyle w:val="CharStyle37"/>
          <w:color w:val="000000"/>
        </w:rPr>
        <w:tab/>
        <w:t xml:space="preserve">«Keusch, Gerald»</w:t>
      </w:r>
    </w:p>
    <w:p>
      <w:pPr>
        <w:pStyle w:val="Style57"/>
        <w:keepNext w:val="0"/>
        <w:keepLines w:val="0"/>
        <w:widowControl w:val="0"/>
        <w:pBdr>
          <w:bottom w:val="single" w:sz="4" w:space="0" w:color="auto"/>
        </w:pBdr>
        <w:shd w:val="clear" w:color="auto" w:fill="auto"/>
        <w:spacing w:before="0" w:after="0" w:line="240" w:lineRule="auto"/>
        <w:ind w:left="1720" w:right="0" w:firstLine="0"/>
        <w:jc w:val="left"/>
      </w:pPr>
      <w:r>
        <w:rPr>
          <w:rStyle w:val="CharStyle58"/>
          <w:color w:val="000000"/>
        </w:rPr>
        <w:t xml:space="preserve">Rejoindre gelson'</w:t>
      </w:r>
    </w:p>
    <w:p>
      <w:pPr>
        <w:pStyle w:val="Style36"/>
        <w:keepNext w:val="0"/>
        <w:keepLines w:val="0"/>
        <w:widowControl w:val="0"/>
        <w:shd w:val="clear" w:color="auto" w:fill="auto"/>
        <w:spacing w:before="0" w:after="220" w:line="240" w:lineRule="auto"/>
        <w:ind w:left="0" w:right="0" w:firstLine="220"/>
        <w:jc w:val="left"/>
      </w:pPr>
      <w:r>
        <w:rPr>
          <w:rStyle w:val="CharStyle37"/>
          <w:color w:val="000000"/>
        </w:rPr>
        <w:t xml:space="preserve">Cc : Aleksei Chmura</w:t>
      </w:r>
    </w:p>
    <w:p>
      <w:pPr>
        <w:pStyle w:val="Style36"/>
        <w:keepNext w:val="0"/>
        <w:keepLines w:val="0"/>
        <w:widowControl w:val="0"/>
        <w:shd w:val="clear" w:color="auto" w:fill="auto"/>
        <w:spacing w:before="0" w:after="0" w:line="298" w:lineRule="auto"/>
        <w:ind w:left="0" w:right="0" w:firstLine="160"/>
        <w:jc w:val="left"/>
      </w:pPr>
      <w:r>
        <w:rPr>
          <w:rStyle w:val="CharStyle37"/>
          <w:color w:val="000000"/>
        </w:rPr>
        <w:t xml:space="preserve">Objet: 3ème chaîne d'emails à sortir ce soir</w:t>
      </w:r>
    </w:p>
    <w:p>
      <w:pPr>
        <w:pStyle w:val="Style36"/>
        <w:keepNext w:val="0"/>
        <w:keepLines w:val="0"/>
        <w:widowControl w:val="0"/>
        <w:shd w:val="clear" w:color="auto" w:fill="auto"/>
        <w:spacing w:before="0" w:after="220" w:line="298" w:lineRule="auto"/>
        <w:ind w:left="0" w:right="0" w:firstLine="160"/>
        <w:jc w:val="left"/>
      </w:pPr>
      <w:r>
        <w:rPr>
          <w:rStyle w:val="CharStyle37"/>
          <w:color w:val="000000"/>
        </w:rPr>
        <w:t xml:space="preserve">Importance: Élevé</w:t>
      </w:r>
    </w:p>
    <w:p>
      <w:pPr>
        <w:pStyle w:val="Style36"/>
        <w:keepNext w:val="0"/>
        <w:keepLines w:val="0"/>
        <w:widowControl w:val="0"/>
        <w:shd w:val="clear" w:color="auto" w:fill="auto"/>
        <w:spacing w:before="0" w:after="440" w:line="298" w:lineRule="auto"/>
        <w:ind w:left="0" w:right="0" w:firstLine="160"/>
        <w:jc w:val="left"/>
      </w:pPr>
      <w:r>
        <w:rPr>
          <w:rStyle w:val="CharStyle37"/>
          <w:color w:val="000000"/>
        </w:rPr>
        <w:t xml:space="preserve">Aleksei -plerase libère ce thread.</w:t>
      </w:r>
    </w:p>
    <w:p>
      <w:pPr>
        <w:pStyle w:val="Style36"/>
        <w:keepNext w:val="0"/>
        <w:keepLines w:val="0"/>
        <w:widowControl w:val="0"/>
        <w:shd w:val="clear" w:color="auto" w:fill="auto"/>
        <w:spacing w:before="0" w:after="220" w:line="298" w:lineRule="auto"/>
        <w:ind w:left="0" w:right="0" w:firstLine="160"/>
        <w:jc w:val="left"/>
      </w:pPr>
      <w:r>
        <w:rPr>
          <w:rStyle w:val="CharStyle37"/>
          <w:color w:val="000000"/>
        </w:rPr>
        <w:t xml:space="preserve">C'est le dernier - seulement 3 chaînes de courriels - les 4 courriels du comité sont inclus.</w:t>
      </w:r>
    </w:p>
    <w:p>
      <w:pPr>
        <w:pStyle w:val="Style36"/>
        <w:keepNext w:val="0"/>
        <w:keepLines w:val="0"/>
        <w:widowControl w:val="0"/>
        <w:shd w:val="clear" w:color="auto" w:fill="auto"/>
        <w:spacing w:before="0" w:after="220" w:line="300" w:lineRule="auto"/>
        <w:ind w:left="160" w:right="0" w:firstLine="0"/>
        <w:jc w:val="left"/>
      </w:pPr>
      <w:r>
        <w:rPr>
          <w:rStyle w:val="CharStyle37"/>
          <w:color w:val="000000"/>
        </w:rPr>
        <w:t xml:space="preserve">Jerry, David - Je n’ai pas inclus certaines de vos réponses ou de vos courriels antérieurs, car ce n’est pas nécessaire à ce stade. Cela aidera à amortir les histoires.</w:t>
      </w:r>
    </w:p>
    <w:p>
      <w:pPr>
        <w:pStyle w:val="Style36"/>
        <w:keepNext w:val="0"/>
        <w:keepLines w:val="0"/>
        <w:widowControl w:val="0"/>
        <w:shd w:val="clear" w:color="auto" w:fill="auto"/>
        <w:spacing w:before="0" w:after="680" w:line="295" w:lineRule="auto"/>
        <w:ind w:left="160" w:right="0" w:firstLine="0"/>
        <w:jc w:val="left"/>
      </w:pPr>
      <w:r>
        <w:rPr>
          <w:rStyle w:val="CharStyle37"/>
          <w:color w:val="000000"/>
        </w:rPr>
        <w:t xml:space="preserve">Nous avons également maintenant HSGAC demandant ces e-mails, de sorte que nous pouvons leur envoyer les urls à notre déclaration une fois qu'il est en ligne et qui devrait être la fin de celui-ci.</w:t>
      </w:r>
    </w:p>
    <w:p>
      <w:pPr>
        <w:pStyle w:val="Style36"/>
        <w:keepNext w:val="0"/>
        <w:keepLines w:val="0"/>
        <w:widowControl w:val="0"/>
        <w:shd w:val="clear" w:color="auto" w:fill="auto"/>
        <w:spacing w:before="0" w:after="280" w:line="240" w:lineRule="auto"/>
        <w:ind w:left="0" w:right="0" w:firstLine="160"/>
        <w:jc w:val="left"/>
      </w:pPr>
      <w:r>
        <w:rPr>
          <w:rStyle w:val="CharStyle37"/>
          <w:color w:val="000000"/>
        </w:rPr>
        <w:t>Salutations,</w:t>
      </w:r>
    </w:p>
    <w:p>
      <w:pPr>
        <w:pStyle w:val="Style36"/>
        <w:keepNext w:val="0"/>
        <w:keepLines w:val="0"/>
        <w:widowControl w:val="0"/>
        <w:shd w:val="clear" w:color="auto" w:fill="auto"/>
        <w:spacing w:before="0" w:after="360" w:line="240" w:lineRule="auto"/>
        <w:ind w:left="0" w:right="0" w:firstLine="160"/>
        <w:jc w:val="left"/>
      </w:pPr>
      <w:r>
        <w:rPr>
          <w:rStyle w:val="CharStyle37"/>
          <w:color w:val="000000"/>
        </w:rPr>
        <w:t>Peter</w:t>
      </w:r>
    </w:p>
    <w:tbl>
      <w:tblPr>
        <w:tblOverlap w:val="never"/>
        <w:jc w:val="center"/>
        <w:tblLayout w:type="fixed"/>
      </w:tblPr>
      <w:tblGrid>
        <w:gridCol w:w="8990"/>
        <w:gridCol w:w="432"/>
      </w:tblGrid>
      <w:tr>
        <w:trPr>
          <w:trHeight w:val="317" w:hRule="exact"/>
        </w:trPr>
        <w:tc>
          <w:tcPr>
            <w:gridSpan w:val="2"/>
            <w:tcBorders>
              <w:top w:val="single" w:sz="4"/>
              <w:left w:val="single" w:sz="4"/>
              <w:right w:val="single" w:sz="4"/>
            </w:tcBorders>
            <w:shd w:val="clear" w:color="auto" w:fill="auto"/>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Message</w:t>
            </w:r>
          </w:p>
        </w:tc>
      </w:tr>
      <w:tr>
        <w:trPr>
          <w:trHeight w:val="4517" w:hRule="exact"/>
        </w:trPr>
        <w:tc>
          <w:tcPr>
            <w:tcBorders>
              <w:top w:val="single" w:sz="4"/>
              <w:left w:val="single" w:sz="4"/>
              <w:bottom w:val="single" w:sz="4"/>
            </w:tcBorders>
            <w:shd w:val="clear" w:color="auto" w:fill="auto"/>
            <w:vAlign w:val="center"/>
          </w:tcPr>
          <w:p>
            <w:pPr>
              <w:pStyle w:val="Style18"/>
              <w:keepNext w:val="0"/>
              <w:keepLines w:val="0"/>
              <w:widowControl w:val="0"/>
              <w:shd w:val="clear" w:color="auto" w:fill="auto"/>
              <w:spacing w:before="0" w:after="0" w:line="240" w:lineRule="auto"/>
              <w:ind w:left="1200" w:right="0" w:firstLine="0"/>
              <w:jc w:val="left"/>
              <w:rPr>
                <w:sz w:val="16"/>
              </w:rPr>
            </w:pPr>
            <w:r>
              <w:rPr>
                <w:rStyle w:val="CharStyle19"/>
                <w:rFonts w:ascii="Arial" w:hAnsi="Arial" w:cs="Arial" w:eastAsia="Arial"/>
                <w:sz w:val="16"/>
              </w:rPr>
              <w:t>Peter</w:t>
            </w:r>
          </w:p>
          <w:p>
            <w:pPr>
              <w:pStyle w:val="Style18"/>
              <w:keepNext w:val="0"/>
              <w:keepLines w:val="0"/>
              <w:widowControl w:val="0"/>
              <w:shd w:val="clear" w:color="auto" w:fill="auto"/>
              <w:tabs>
                <w:tab w:pos="1032" w:val="left"/>
              </w:tabs>
              <w:spacing w:before="0" w:after="160" w:line="300" w:lineRule="auto"/>
              <w:ind w:left="0" w:right="0" w:firstLine="0"/>
              <w:jc w:val="left"/>
              <w:rPr>
                <w:sz w:val="16"/>
              </w:rPr>
            </w:pPr>
            <w:r>
              <w:rPr>
                <w:rStyle w:val="CharStyle19"/>
                <w:rFonts w:ascii="Arial" w:hAnsi="Arial" w:cs="Arial" w:eastAsia="Arial"/>
                <w:sz w:val="16"/>
              </w:rPr>
              <w:t>Envoyé:</w:t>
              <w:tab/>
              <w:t xml:space="preserve">4/11/2024 11:5</w:t>
            </w:r>
            <w:r>
              <w:rPr>
                <w:rStyle w:val="CharStyle19"/>
                <w:rFonts w:ascii="Arial" w:hAnsi="Arial" w:cs="Arial" w:eastAsia="Arial"/>
                <w:sz w:val="16"/>
                <w:u w:val="single"/>
              </w:rPr>
              <w:t>19:18</w:t>
            </w:r>
          </w:p>
          <w:p>
            <w:pPr>
              <w:pStyle w:val="Style18"/>
              <w:keepNext w:val="0"/>
              <w:keepLines w:val="0"/>
              <w:widowControl w:val="0"/>
              <w:shd w:val="clear" w:color="auto" w:fill="auto"/>
              <w:tabs>
                <w:tab w:pos="4611" w:val="left"/>
              </w:tabs>
              <w:spacing w:before="0" w:after="0" w:line="240" w:lineRule="auto"/>
              <w:ind w:left="1880" w:right="0" w:firstLine="0"/>
              <w:jc w:val="left"/>
              <w:rPr>
                <w:sz w:val="16"/>
              </w:rPr>
            </w:pPr>
            <w:r>
              <w:rPr>
                <w:rStyle w:val="CharStyle19"/>
                <w:rFonts w:ascii="Arial" w:hAnsi="Arial" w:cs="Arial" w:eastAsia="Arial"/>
                <w:sz w:val="16"/>
              </w:rPr>
              <w:t xml:space="preserve">rnu • j</w:t>
              <w:tab/>
              <w:t xml:space="preserve">J de v i</w:t>
            </w:r>
          </w:p>
          <w:p>
            <w:pPr>
              <w:pStyle w:val="Style18"/>
              <w:keepNext w:val="0"/>
              <w:keepLines w:val="0"/>
              <w:widowControl w:val="0"/>
              <w:shd w:val="clear" w:color="auto" w:fill="auto"/>
              <w:tabs>
                <w:tab w:pos="1037" w:val="left"/>
              </w:tabs>
              <w:spacing w:before="0" w:after="400" w:line="300" w:lineRule="auto"/>
              <w:ind w:left="0" w:right="0" w:firstLine="0"/>
              <w:jc w:val="left"/>
              <w:rPr>
                <w:sz w:val="16"/>
              </w:rPr>
            </w:pPr>
            <w:r>
              <w:rPr>
                <w:rStyle w:val="CharStyle19"/>
                <w:rFonts w:ascii="Arial" w:hAnsi="Arial" w:cs="Arial" w:eastAsia="Arial"/>
                <w:sz w:val="16"/>
              </w:rPr>
              <w:t>Objet:</w:t>
              <w:tab/>
              <w:t xml:space="preserve">2ème chaine tc sortie ce soir</w:t>
            </w:r>
          </w:p>
          <w:p>
            <w:pPr>
              <w:pStyle w:val="Style18"/>
              <w:keepNext w:val="0"/>
              <w:keepLines w:val="0"/>
              <w:widowControl w:val="0"/>
              <w:shd w:val="clear" w:color="auto" w:fill="auto"/>
              <w:spacing w:before="0" w:after="200" w:line="300" w:lineRule="auto"/>
              <w:ind w:left="0" w:right="0" w:firstLine="0"/>
              <w:jc w:val="left"/>
              <w:rPr>
                <w:sz w:val="16"/>
              </w:rPr>
            </w:pPr>
            <w:r>
              <w:rPr>
                <w:rStyle w:val="CharStyle19"/>
                <w:rFonts w:ascii="Arial" w:hAnsi="Arial" w:cs="Arial" w:eastAsia="Arial"/>
                <w:sz w:val="16"/>
              </w:rPr>
              <w:t xml:space="preserve">Veuillez faire de même pour la section entre les points saillants XXXXX ci-dessous (ce n'est qu'un peu de la chaîne).</w:t>
            </w:r>
          </w:p>
          <w:p>
            <w:pPr>
              <w:pStyle w:val="Style18"/>
              <w:keepNext w:val="0"/>
              <w:keepLines w:val="0"/>
              <w:widowControl w:val="0"/>
              <w:shd w:val="clear" w:color="auto" w:fill="auto"/>
              <w:spacing w:before="0" w:after="200" w:line="300" w:lineRule="auto"/>
              <w:ind w:left="0" w:right="0" w:firstLine="0"/>
              <w:jc w:val="left"/>
              <w:rPr>
                <w:sz w:val="16"/>
              </w:rPr>
            </w:pPr>
            <w:r>
              <w:rPr>
                <w:rStyle w:val="CharStyle19"/>
                <w:rFonts w:ascii="Arial" w:hAnsi="Arial" w:cs="Arial" w:eastAsia="Arial"/>
                <w:sz w:val="16"/>
              </w:rPr>
              <w:t xml:space="preserve">N'oubliez pas de REDACTER l'adresse gmail de David, l'adresse e-mail de Jerry, les sections dans le bloc Greer et d'autres choses que vous jugez appropriées</w:t>
            </w:r>
          </w:p>
          <w:p>
            <w:pPr>
              <w:pStyle w:val="Style18"/>
              <w:keepNext w:val="0"/>
              <w:keepLines w:val="0"/>
              <w:widowControl w:val="0"/>
              <w:shd w:val="clear" w:color="auto" w:fill="auto"/>
              <w:spacing w:before="0" w:after="660" w:line="300" w:lineRule="auto"/>
              <w:ind w:left="0" w:right="0" w:firstLine="0"/>
              <w:jc w:val="left"/>
              <w:rPr>
                <w:sz w:val="16"/>
              </w:rPr>
            </w:pPr>
            <w:r>
              <w:rPr>
                <w:rStyle w:val="CharStyle19"/>
                <w:rFonts w:ascii="Arial" w:hAnsi="Arial" w:cs="Arial" w:eastAsia="Arial"/>
                <w:sz w:val="16"/>
              </w:rPr>
              <w:t xml:space="preserve">Gardez les sectons mis en évidence dans les e-mails publiés</w:t>
            </w:r>
          </w:p>
          <w:p>
            <w:pPr>
              <w:pStyle w:val="Style18"/>
              <w:keepNext w:val="0"/>
              <w:keepLines w:val="0"/>
              <w:widowControl w:val="0"/>
              <w:shd w:val="clear" w:color="auto" w:fill="auto"/>
              <w:spacing w:before="0" w:after="200" w:line="300" w:lineRule="auto"/>
              <w:ind w:left="0" w:right="0" w:firstLine="0"/>
              <w:jc w:val="left"/>
              <w:rPr>
                <w:sz w:val="16"/>
              </w:rPr>
            </w:pPr>
            <w:r>
              <w:rPr>
                <w:rStyle w:val="CharStyle19"/>
                <w:rFonts w:ascii="Arial" w:hAnsi="Arial" w:cs="Arial" w:eastAsia="Arial"/>
                <w:sz w:val="16"/>
              </w:rPr>
              <w:t>Salutations,</w:t>
            </w:r>
          </w:p>
          <w:p>
            <w:pPr>
              <w:pStyle w:val="Style18"/>
              <w:keepNext w:val="0"/>
              <w:keepLines w:val="0"/>
              <w:widowControl w:val="0"/>
              <w:shd w:val="clear" w:color="auto" w:fill="auto"/>
              <w:spacing w:before="0" w:after="200" w:line="300" w:lineRule="auto"/>
              <w:ind w:left="0" w:right="0" w:firstLine="0"/>
              <w:jc w:val="left"/>
              <w:rPr>
                <w:sz w:val="16"/>
              </w:rPr>
            </w:pPr>
            <w:r>
              <w:rPr>
                <w:rStyle w:val="CharStyle19"/>
                <w:rFonts w:ascii="Arial" w:hAnsi="Arial" w:cs="Arial" w:eastAsia="Arial"/>
                <w:sz w:val="16"/>
              </w:rPr>
              <w:t>Peter</w:t>
            </w:r>
          </w:p>
        </w:tc>
        <w:tc>
          <w:tcPr>
            <w:tcBorders>
              <w:top w:val="single" w:sz="4"/>
              <w:left w:val="single" w:sz="4"/>
              <w:bottom w:val="single" w:sz="4"/>
              <w:right w:val="single" w:sz="4"/>
            </w:tcBorders>
            <w:shd w:val="clear" w:color="auto" w:fill="auto"/>
            <w:vAlign w:val="top"/>
          </w:tcPr>
          <w:p>
            <w:pPr>
              <w:widowControl w:val="0"/>
              <w:rPr>
                <w:sz w:val="10"/>
              </w:rPr>
            </w:pPr>
          </w:p>
        </w:tc>
      </w:tr>
    </w:tbl>
    <w:p>
      <w:pPr>
        <w:widowControl w:val="0"/>
        <w:spacing w:after="279" w:line="1" w:lineRule="exact"/>
      </w:pPr>
    </w:p>
    <w:p>
      <w:pPr>
        <w:pStyle w:val="Style24"/>
        <w:keepNext w:val="0"/>
        <w:keepLines w:val="0"/>
        <w:widowControl w:val="0"/>
        <w:shd w:val="clear" w:color="auto" w:fill="auto"/>
        <w:spacing w:before="0" w:after="220" w:line="233" w:lineRule="auto"/>
        <w:ind w:left="0" w:right="0" w:firstLine="720"/>
        <w:jc w:val="left"/>
        <w:rPr>
          <w:sz w:val="24"/>
        </w:rPr>
        <w:sectPr>
          <w:footnotePr>
            <w:pos w:val="pageBottom"/>
            <w:numFmt w:val="decimal"/>
            <w:numStart w:val="1454"/>
            <w:numRestart w:val="continuous"/>
            <w15:footnoteColumns w:val="1"/>
          </w:footnotePr>
          <w:pgSz w:w="12240" w:h="15840"/>
          <w:pgMar w:top="1718" w:right="1378" w:bottom="1718" w:left="1421" w:header="1290" w:footer="3" w:gutter="0"/>
          <w:cols w:space="720"/>
          <w:noEndnote/>
          <w:rtlGutter w:val="0"/>
          <w:docGrid w:linePitch="360"/>
        </w:sectPr>
      </w:pPr>
      <w:r>
        <w:rPr>
          <w:rStyle w:val="CharStyle25"/>
          <w:sz w:val="24"/>
        </w:rPr>
        <w:t xml:space="preserve">Ces actions soulèvent de sérieuses questions quant à l’intégrité du Dr Daszak et continuent de soutenir qu’il n’est pas un bon intendant de l’argent des contribuables.</w:t>
      </w:r>
    </w:p>
    <w:p>
      <w:pPr>
        <w:pStyle w:val="Style24"/>
        <w:keepNext w:val="0"/>
        <w:keepLines w:val="0"/>
        <w:widowControl w:val="0"/>
        <w:shd w:val="clear" w:color="auto" w:fill="auto"/>
        <w:spacing w:before="0" w:after="320" w:line="259" w:lineRule="auto"/>
        <w:ind w:left="1460" w:right="0" w:hanging="1460"/>
        <w:jc w:val="left"/>
      </w:pPr>
      <w:r>
        <w:rPr>
          <w:rStyle w:val="CharStyle25"/>
        </w:rPr>
        <w:t xml:space="preserve">CONSTATATION : Le Dr Peter Daszak a fourni de fausses déclarations au Congrès en violation des articles 18 U.S.C. 1001 et 18 U.S.C. 1621.</w:t>
      </w:r>
    </w:p>
    <w:p>
      <w:pPr>
        <w:pStyle w:val="Style24"/>
        <w:keepNext w:val="0"/>
        <w:keepLines w:val="0"/>
        <w:widowControl w:val="0"/>
        <w:shd w:val="clear" w:color="auto" w:fill="auto"/>
        <w:spacing w:before="0" w:after="0"/>
        <w:ind w:left="0" w:right="0" w:firstLine="740"/>
        <w:jc w:val="left"/>
        <w:sectPr>
          <w:footnotePr>
            <w:pos w:val="pageBottom"/>
            <w:numFmt w:val="decimal"/>
            <w:numStart w:val="1454"/>
            <w:numRestart w:val="continuous"/>
            <w15:footnoteColumns w:val="1"/>
          </w:footnotePr>
          <w:pgSz w:w="12485" w:h="16357"/>
          <w:pgMar w:top="1761" w:right="1586" w:bottom="1761" w:left="1538" w:header="1333" w:footer="3" w:gutter="0"/>
          <w:cols w:space="720"/>
          <w:noEndnote/>
          <w:rtlGutter w:val="0"/>
          <w:docGrid w:linePitch="360"/>
        </w:sectPr>
      </w:pPr>
      <w:r>
        <w:rPr>
          <w:rStyle w:val="CharStyle25"/>
        </w:rPr>
        <w:t xml:space="preserve">En comparant le témoignage du Dr Daszak – à la fois lors de son entretien transcrit et de son audition publique – aux documents disponibles, il est probable que le Dr Daszak a fourni de fausses déclarations au sous-comité restreint en violation des articles 18 U.S.C. 1001 et 18 U.S.C. 1621.</w:t>
      </w:r>
    </w:p>
    <w:p>
      <w:pPr>
        <w:pStyle w:val="Style24"/>
        <w:keepNext w:val="0"/>
        <w:keepLines w:val="0"/>
        <w:widowControl w:val="0"/>
        <w:numPr>
          <w:ilvl w:val="0"/>
          <w:numId w:val="9"/>
        </w:numPr>
        <w:shd w:val="clear" w:color="auto" w:fill="auto"/>
        <w:tabs>
          <w:tab w:pos="720" w:val="left"/>
        </w:tabs>
        <w:spacing w:before="0" w:line="264" w:lineRule="auto"/>
        <w:ind w:left="740" w:right="0" w:hanging="740"/>
        <w:jc w:val="left"/>
      </w:pPr>
      <w:r>
        <w:rPr>
          <w:rStyle w:val="CharStyle25"/>
        </w:rPr>
        <w:t xml:space="preserve">Le Dr David Morens a probablement détruit des preuves, utilisé un courriel personnel pour se cacher de la responsabilité et agi de manière inconvenante à l'égard d'un employé fédéral</w:t>
      </w:r>
    </w:p>
    <w:p>
      <w:pPr>
        <w:pStyle w:val="Style24"/>
        <w:keepNext w:val="0"/>
        <w:keepLines w:val="0"/>
        <w:widowControl w:val="0"/>
        <w:shd w:val="clear" w:color="auto" w:fill="auto"/>
        <w:spacing w:before="0"/>
        <w:ind w:left="0" w:right="0" w:firstLine="740"/>
        <w:jc w:val="left"/>
      </w:pPr>
      <w:r>
        <w:rPr>
          <w:rStyle w:val="CharStyle25"/>
        </w:rPr>
        <w:t xml:space="preserve">En période de grand péril et d’incertitude, il appartient aux dirigeants de notre pays de contribuer à guider le pays et à inspirer confiance face au doute. Pendant la pandémie de COVID-19, personne n’a été plus consulté que les responsables de la santé publique.</w:t>
      </w:r>
    </w:p>
    <w:p>
      <w:pPr>
        <w:pStyle w:val="Style24"/>
        <w:keepNext w:val="0"/>
        <w:keepLines w:val="0"/>
        <w:widowControl w:val="0"/>
        <w:shd w:val="clear" w:color="auto" w:fill="auto"/>
        <w:spacing w:before="0" w:after="300"/>
        <w:ind w:left="0" w:right="0" w:firstLine="740"/>
        <w:jc w:val="left"/>
      </w:pPr>
      <w:r>
        <w:rPr>
          <w:rStyle w:val="CharStyle25"/>
        </w:rPr>
        <w:t xml:space="preserve">Toutefois, au cours de cette enquête, le sous-comité restreint a découvert des documents et recueilli des témoignages qui soulevaient de graves préoccupations concernant des actes répréhensibles commis au nom des dirigeants américains de la santé publique.</w:t>
      </w:r>
    </w:p>
    <w:p>
      <w:pPr>
        <w:pStyle w:val="Style24"/>
        <w:keepNext w:val="0"/>
        <w:keepLines w:val="0"/>
        <w:widowControl w:val="0"/>
        <w:shd w:val="clear" w:color="auto" w:fill="auto"/>
        <w:spacing w:before="0" w:after="300" w:line="259" w:lineRule="auto"/>
        <w:ind w:left="1460" w:right="0" w:hanging="1460"/>
        <w:jc w:val="left"/>
      </w:pPr>
      <w:r>
        <w:rPr>
          <w:rStyle w:val="CharStyle25"/>
        </w:rPr>
        <w:t xml:space="preserve">CONSTATATION : Le Dr David Morens a utilisé des comptes de courrier électronique personnels pour éviter la Loi sur l'accès à l'information et la responsabilité.</w:t>
      </w:r>
    </w:p>
    <w:p>
      <w:pPr>
        <w:pStyle w:val="Style24"/>
        <w:keepNext w:val="0"/>
        <w:keepLines w:val="0"/>
        <w:widowControl w:val="0"/>
        <w:shd w:val="clear" w:color="auto" w:fill="auto"/>
        <w:spacing w:before="0"/>
        <w:ind w:left="0" w:right="0" w:firstLine="740"/>
        <w:jc w:val="left"/>
      </w:pPr>
      <w:r>
        <w:rPr>
          <w:rStyle w:val="CharStyle25"/>
        </w:rPr>
        <w:t xml:space="preserve">FOIA a été conçu pour assurer un droit public d'accès aux documents fédéraux non privilégiés. Il incombe aux employés fédéraux de veiller à ce que les documents officiels soient conservés et tenus à jour. Le Dr Morens a sciemment et intentionnellement utilisé des courriels personnels pour éviter la FOIA, la transparence et la responsabilité.</w:t>
        <w:footnoteReference w:id="364"/>
        <w:t xml:space="preserve"> Le Dr Morens a fait preuve d'un manque de respect et d'un mépris flagrant à l'égard de sa responsabilité en tant qu'employé fédéral.</w:t>
      </w:r>
    </w:p>
    <w:p>
      <w:pPr>
        <w:pStyle w:val="Style24"/>
        <w:keepNext w:val="0"/>
        <w:keepLines w:val="0"/>
        <w:widowControl w:val="0"/>
        <w:shd w:val="clear" w:color="auto" w:fill="auto"/>
        <w:spacing w:before="0" w:after="580"/>
        <w:ind w:left="0" w:right="0" w:firstLine="740"/>
        <w:jc w:val="left"/>
      </w:pPr>
      <w:r>
        <w:rPr>
          <w:rStyle w:val="CharStyle25"/>
        </w:rPr>
        <w:t xml:space="preserve">Le Dr Morens a pris des mesures actives pour tenter d'éviter de rendre des comptes, allant jusqu'à informer d'autres collègues de sa tactique. Le 13 juillet 2020, le Dr Morens a envoyé un courriel au Dr Keusch et au Dr Daszak, énonçant les mesures exactes qu’il prend pour « s’immuniser » « contre les ennuis ». </w:t>
        <w:footnoteReference w:id="365"/>
      </w:r>
    </w:p>
    <w:p>
      <w:pPr>
        <w:pStyle w:val="Style24"/>
        <w:keepNext w:val="0"/>
        <w:keepLines w:val="0"/>
        <w:widowControl w:val="0"/>
        <w:shd w:val="clear" w:color="auto" w:fill="auto"/>
        <w:tabs>
          <w:tab w:pos="1421" w:val="left"/>
        </w:tabs>
        <w:spacing w:before="0" w:after="0" w:line="240" w:lineRule="auto"/>
        <w:ind w:left="0" w:right="0"/>
        <w:jc w:val="left"/>
        <w:rPr>
          <w:sz w:val="14"/>
        </w:rPr>
      </w:pPr>
      <w:r>
        <w:rPr>
          <w:rStyle w:val="CharStyle25"/>
          <w:color w:val="464648"/>
          <w:sz w:val="20"/>
        </w:rPr>
        <w:t xml:space="preserve">À partir de:</w:t>
        <w:tab/>
      </w:r>
      <w:r>
        <w:rPr>
          <w:rStyle w:val="CharStyle25"/>
          <w:rFonts w:ascii="Arial" w:hAnsi="Arial" w:cs="Arial" w:eastAsia="Arial"/>
          <w:color w:val="464648"/>
          <w:sz w:val="14"/>
        </w:rPr>
        <w:t>David</w:t>
      </w:r>
    </w:p>
    <w:p>
      <w:pPr>
        <w:pStyle w:val="Style110"/>
        <w:keepNext w:val="0"/>
        <w:keepLines w:val="0"/>
        <w:widowControl w:val="0"/>
        <w:shd w:val="clear" w:color="auto" w:fill="auto"/>
        <w:tabs>
          <w:tab w:pos="1421" w:val="left"/>
        </w:tabs>
        <w:spacing w:before="0" w:after="0" w:line="240" w:lineRule="auto"/>
        <w:ind w:left="0" w:right="0" w:firstLine="400"/>
        <w:jc w:val="left"/>
      </w:pPr>
      <w:r>
        <w:rPr>
          <w:rStyle w:val="CharStyle111"/>
          <w:rFonts w:ascii="Arial" w:hAnsi="Arial" w:cs="Arial" w:eastAsia="Arial"/>
          <w:sz w:val="14"/>
        </w:rPr>
        <w:t>Envoyé:</w:t>
        <w:tab/>
      </w:r>
      <w:r>
        <w:rPr>
          <w:rStyle w:val="CharStyle111"/>
        </w:rPr>
        <w:t>7/13/2020</w:t>
      </w:r>
    </w:p>
    <w:p>
      <w:pPr>
        <w:pStyle w:val="Style57"/>
        <w:keepNext w:val="0"/>
        <w:keepLines w:val="0"/>
        <w:widowControl w:val="0"/>
        <w:shd w:val="clear" w:color="auto" w:fill="auto"/>
        <w:tabs>
          <w:tab w:pos="1421" w:val="left"/>
        </w:tabs>
        <w:spacing w:before="0" w:after="0" w:line="240" w:lineRule="auto"/>
        <w:ind w:left="0" w:right="0" w:firstLine="400"/>
        <w:jc w:val="left"/>
      </w:pPr>
      <w:r>
        <w:rPr>
          <w:rStyle w:val="CharStyle58"/>
          <w:color w:val="464648"/>
        </w:rPr>
        <w:t xml:space="preserve">À l'attention de:</w:t>
        <w:tab/>
        <w:t>Keusch,</w:t>
      </w:r>
    </w:p>
    <w:p>
      <w:pPr>
        <w:pStyle w:val="Style57"/>
        <w:keepNext w:val="0"/>
        <w:keepLines w:val="0"/>
        <w:widowControl w:val="0"/>
        <w:shd w:val="clear" w:color="auto" w:fill="auto"/>
        <w:tabs>
          <w:tab w:pos="1421" w:val="left"/>
        </w:tabs>
        <w:spacing w:before="0" w:after="0" w:line="240" w:lineRule="auto"/>
        <w:ind w:left="0" w:right="0" w:firstLine="400"/>
        <w:jc w:val="left"/>
      </w:pPr>
      <w:r>
        <w:rPr>
          <w:rStyle w:val="CharStyle58"/>
          <w:color w:val="464648"/>
        </w:rPr>
        <w:t xml:space="preserve">CC :</w:t>
        <w:tab/>
        <w:t>Peter</w:t>
      </w:r>
    </w:p>
    <w:p>
      <w:pPr>
        <w:pStyle w:val="Style57"/>
        <w:keepNext w:val="0"/>
        <w:keepLines w:val="0"/>
        <w:widowControl w:val="0"/>
        <w:shd w:val="clear" w:color="auto" w:fill="auto"/>
        <w:tabs>
          <w:tab w:pos="1421" w:val="left"/>
        </w:tabs>
        <w:spacing w:before="0" w:after="520" w:line="240" w:lineRule="auto"/>
        <w:ind w:left="0" w:right="0" w:firstLine="400"/>
        <w:jc w:val="left"/>
      </w:pPr>
      <w:r>
        <w:rPr>
          <w:rStyle w:val="CharStyle58"/>
          <w:color w:val="464648"/>
        </w:rPr>
        <w:t>Objet:</w:t>
        <w:tab/>
        <w:t xml:space="preserve">En ce qui concerne: PRO/AH/EDR&gt; Mise à jour COViD-19 (312): Chine, origine du SARS-CoV2, réservoir animal, mission de l'OMS</w:t>
      </w:r>
    </w:p>
    <w:p>
      <w:pPr>
        <w:pStyle w:val="Style57"/>
        <w:keepNext w:val="0"/>
        <w:keepLines w:val="0"/>
        <w:widowControl w:val="0"/>
        <w:shd w:val="clear" w:color="auto" w:fill="auto"/>
        <w:spacing w:before="0" w:after="120" w:line="254" w:lineRule="auto"/>
        <w:ind w:left="400" w:right="240" w:firstLine="0"/>
        <w:jc w:val="left"/>
        <w:rPr>
          <w:sz w:val="15"/>
        </w:rPr>
      </w:pPr>
      <w:r>
        <w:rPr>
          <w:rStyle w:val="CharStyle58"/>
          <w:color w:val="464648"/>
          <w:sz w:val="15"/>
        </w:rPr>
        <w:t xml:space="preserve">Oui, j'essaie d'attraper ces choses, merci. Certains d'entre eux sont intentionnels cependant, ss quand le papier ajtmh sort, je le posséderai publiquement, et sûr d'être foia'd. Plus important encore, j'ai rencontré le chef de notre bureau foia et j'ai appris à m'immuniser contre les ennuis Ergo, quand je gâche ne vous inquiétez pas, je pense que je suis un coffre-fort.</w:t>
      </w:r>
    </w:p>
    <w:p>
      <w:pPr>
        <w:pStyle w:val="Style57"/>
        <w:keepNext w:val="0"/>
        <w:keepLines w:val="0"/>
        <w:widowControl w:val="0"/>
        <w:shd w:val="clear" w:color="auto" w:fill="auto"/>
        <w:spacing w:before="0" w:after="120" w:line="254" w:lineRule="auto"/>
        <w:ind w:left="0" w:right="0" w:firstLine="400"/>
        <w:jc w:val="left"/>
        <w:rPr>
          <w:sz w:val="15"/>
        </w:rPr>
      </w:pPr>
      <w:r>
        <w:rPr>
          <w:rStyle w:val="CharStyle58"/>
          <w:color w:val="464648"/>
          <w:sz w:val="15"/>
        </w:rPr>
        <w:t>D</w:t>
      </w:r>
    </w:p>
    <w:p>
      <w:pPr>
        <w:pStyle w:val="Style18"/>
        <w:keepNext w:val="0"/>
        <w:keepLines w:val="0"/>
        <w:widowControl w:val="0"/>
        <w:shd w:val="clear" w:color="auto" w:fill="auto"/>
        <w:spacing w:before="0" w:after="0" w:line="240" w:lineRule="auto"/>
        <w:ind w:left="0" w:right="0"/>
        <w:jc w:val="left"/>
        <w:rPr>
          <w:sz w:val="13"/>
        </w:rPr>
      </w:pPr>
      <w:r>
        <w:rPr>
          <w:rStyle w:val="CharStyle19"/>
          <w:color w:val="464648"/>
          <w:sz w:val="13"/>
        </w:rPr>
        <w:t xml:space="preserve">Envoyé depuis mon iPhone</w:t>
      </w:r>
    </w:p>
    <w:p>
      <w:pPr>
        <w:pStyle w:val="Style18"/>
        <w:keepNext w:val="0"/>
        <w:keepLines w:val="0"/>
        <w:widowControl w:val="0"/>
        <w:shd w:val="clear" w:color="auto" w:fill="auto"/>
        <w:spacing w:before="0" w:after="0" w:line="230" w:lineRule="auto"/>
        <w:ind w:left="0" w:right="0"/>
        <w:jc w:val="left"/>
        <w:rPr>
          <w:sz w:val="13"/>
        </w:rPr>
      </w:pPr>
      <w:r>
        <w:rPr>
          <w:rStyle w:val="CharStyle19"/>
          <w:color w:val="464648"/>
          <w:sz w:val="13"/>
        </w:rPr>
        <w:t xml:space="preserve">David M Morens</w:t>
      </w:r>
    </w:p>
    <w:p>
      <w:pPr>
        <w:pStyle w:val="Style57"/>
        <w:keepNext w:val="0"/>
        <w:keepLines w:val="0"/>
        <w:widowControl w:val="0"/>
        <w:shd w:val="clear" w:color="auto" w:fill="auto"/>
        <w:spacing w:before="0" w:after="400" w:line="214" w:lineRule="auto"/>
        <w:ind w:left="0" w:right="0" w:firstLine="400"/>
        <w:jc w:val="left"/>
        <w:rPr>
          <w:sz w:val="15"/>
        </w:rPr>
      </w:pPr>
      <w:r>
        <w:rPr>
          <w:rStyle w:val="CharStyle58"/>
          <w:color w:val="464648"/>
          <w:sz w:val="15"/>
        </w:rPr>
        <w:t xml:space="preserve">OD, NIAID, NIH</w:t>
      </w:r>
    </w:p>
    <w:p>
      <w:pPr>
        <w:pStyle w:val="Style24"/>
        <w:keepNext w:val="0"/>
        <w:keepLines w:val="0"/>
        <w:widowControl w:val="0"/>
        <w:shd w:val="clear" w:color="auto" w:fill="auto"/>
        <w:spacing w:before="0"/>
        <w:ind w:left="0" w:right="0" w:firstLine="740"/>
        <w:jc w:val="left"/>
      </w:pPr>
      <w:r>
        <w:rPr>
          <w:rStyle w:val="CharStyle25"/>
        </w:rPr>
        <w:t xml:space="preserve">Le Dr Morens va jusqu'à admettre qu'il savait qu'il utilisait Gmail pour éviter FOIA. Le 30 juin 2023, à partir d’un compte de messagerie électronique de chiffrement de bout en bout, le Dr Morens a déclaré: «Je vais devoir vérifier si ce que j’ai fait était un «crime» ou, comme je l’ai toujours compris, simplement une politique».</w:t>
        <w:footnoteReference w:id="366"/>
      </w:r>
      <w:r>
        <w:br w:type="page"/>
      </w:r>
    </w:p>
    <w:p>
      <w:pPr>
        <w:pStyle w:val="Style24"/>
        <w:keepNext w:val="0"/>
        <w:keepLines w:val="0"/>
        <w:widowControl w:val="0"/>
        <w:shd w:val="clear" w:color="auto" w:fill="auto"/>
        <w:spacing w:before="0" w:after="0" w:line="240" w:lineRule="auto"/>
        <w:ind w:left="0" w:right="0" w:firstLine="580"/>
        <w:jc w:val="left"/>
        <w:rPr>
          <w:sz w:val="20"/>
        </w:rPr>
      </w:pPr>
      <w:r>
        <w:rPr>
          <w:rStyle w:val="CharStyle25"/>
          <w:sz w:val="20"/>
          <w:vertAlign w:val="superscript"/>
        </w:rPr>
        <w:t>1</w:t>
      </w:r>
      <w:r>
        <w:rPr>
          <w:rStyle w:val="CharStyle25"/>
          <w:sz w:val="20"/>
        </w:rPr>
        <w:t xml:space="preserve"> ' ■ ■ ■</w:t>
      </w:r>
    </w:p>
    <w:p>
      <w:pPr>
        <w:pStyle w:val="Style57"/>
        <w:keepNext w:val="0"/>
        <w:keepLines w:val="0"/>
        <w:widowControl w:val="0"/>
        <w:shd w:val="clear" w:color="auto" w:fill="auto"/>
        <w:spacing w:before="0" w:after="40" w:line="214" w:lineRule="auto"/>
        <w:ind w:left="580" w:right="0" w:firstLine="20"/>
        <w:jc w:val="left"/>
        <w:rPr>
          <w:sz w:val="10"/>
        </w:rPr>
      </w:pPr>
      <w:r>
        <w:drawing>
          <wp:anchor distT="0" distB="467360" distL="892810" distR="298450" simplePos="0" relativeHeight="125829458" behindDoc="0" locked="0" layoutInCell="1" allowOverlap="1">
            <wp:simplePos x="0" y="0"/>
            <wp:positionH relativeFrom="page">
              <wp:posOffset>2257425</wp:posOffset>
            </wp:positionH>
            <wp:positionV relativeFrom="paragraph">
              <wp:posOffset>127000</wp:posOffset>
            </wp:positionV>
            <wp:extent cx="3810000" cy="414655"/>
            <wp:wrapTopAndBottom/>
            <wp:docPr id="156" name="Forme 156"/>
            <a:graphic xmlns:a="http://schemas.openxmlformats.org/drawingml/2006/main">
              <a:graphicData uri="http://schemas.openxmlformats.org/drawingml/2006/picture">
                <pic:pic xmlns:pic="http://schemas.openxmlformats.org/drawingml/2006/picture">
                  <pic:nvPicPr>
                    <pic:cNvPr id="157" name="Boîte à images 157"/>
                    <pic:cNvPicPr/>
                  </pic:nvPicPr>
                  <pic:blipFill>
                    <a:blip r:embed="rId74"/>
                    <a:stretch/>
                  </pic:blipFill>
                  <pic:spPr>
                    <a:xfrm>
                      <a:ext cx="3810000" cy="414655"/>
                    </a:xfrm>
                    <a:prstGeom prst="rect"/>
                  </pic:spPr>
                </pic:pic>
              </a:graphicData>
            </a:graphic>
          </wp:anchor>
        </w:drawing>
      </w:r>
      <w:r>
        <mc:AlternateContent>
          <mc:Choice Requires="wps">
            <w:drawing>
              <wp:anchor distT="0" distB="0" distL="0" distR="0" simplePos="0" relativeHeight="503316520" behindDoc="0" locked="0" layoutInCell="1" allowOverlap="1">
                <wp:simplePos x="0" y="0"/>
                <wp:positionH relativeFrom="page">
                  <wp:posOffset>1364615</wp:posOffset>
                </wp:positionH>
                <wp:positionV relativeFrom="paragraph">
                  <wp:posOffset>675640</wp:posOffset>
                </wp:positionV>
                <wp:extent cx="5001895" cy="304800"/>
                <wp:wrapNone/>
                <wp:docPr id="158" name="Forme 158"/>
                <a:graphic xmlns:a="http://schemas.openxmlformats.org/drawingml/2006/main">
                  <a:graphicData uri="http://schemas.microsoft.com/office/word/2010/wordprocessingShape">
                    <wps:wsp>
                      <wps:cNvSpPr txBox="1"/>
                      <wps:spPr>
                        <a:xfrm>
                          <a:ext cx="5001895" cy="304800"/>
                        </a:xfrm>
                        <a:prstGeom prst="rect"/>
                        <a:noFill/>
                      </wps:spPr>
                      <wps:txbx>
                        <w:txbxContent>
                          <w:p>
                            <w:pPr>
                              <w:pStyle w:val="Style27"/>
                              <w:keepNext w:val="0"/>
                              <w:keepLines w:val="0"/>
                              <w:widowControl w:val="0"/>
                              <w:shd w:val="clear" w:color="auto" w:fill="auto"/>
                              <w:spacing w:before="0" w:after="0"/>
                              <w:ind w:left="0" w:right="0" w:firstLine="0"/>
                              <w:jc w:val="left"/>
                              <w:rPr>
                                <w:sz w:val="14"/>
                              </w:rPr>
                            </w:pPr>
                            <w:r>
                              <w:rPr>
                                <w:rStyle w:val="CharStyle28"/>
                                <w:color w:val="464648"/>
                                <w:sz w:val="14"/>
                              </w:rPr>
                              <w:t xml:space="preserve">Merci, je suis à l'aise de leur parler et j'ai hâte de repousser. Avant ce jour, les avocats et les dirigeants de NiH insisteront pour m'informer et me diront probablement de ne pas entrer dans ceci ou cela, si possible.</w:t>
                            </w:r>
                          </w:p>
                        </w:txbxContent>
                      </wps:txbx>
                      <wps:bodyPr lIns="0" tIns="0" rIns="0" bIns="0">
                        <a:noAutoFit/>
                      </wps:bodyPr>
                    </wps:wsp>
                  </a:graphicData>
                </a:graphic>
              </wp:anchor>
            </w:drawing>
          </mc:Choice>
        </mc:AlternateContent>
      </w:r>
      <w:r>
        <w:rPr>
          <w:rStyle w:val="CharStyle58"/>
          <w:rFonts w:ascii="Times New Roman" w:hAnsi="Times New Roman" w:cs="Times New Roman" w:eastAsia="Times New Roman"/>
          <w:color w:val="464648"/>
          <w:sz w:val="22"/>
        </w:rPr>
        <w:t xml:space="preserve">Envoyé: </w:t>
      </w:r>
      <w:r>
        <w:rPr>
          <w:rStyle w:val="CharStyle58"/>
          <w:color w:val="464648"/>
        </w:rPr>
        <w:t xml:space="preserve">Vendredi, </w:t>
      </w:r>
      <w:r>
        <w:rPr>
          <w:rStyle w:val="CharStyle58"/>
          <w:rFonts w:ascii="Times New Roman" w:hAnsi="Times New Roman" w:cs="Times New Roman" w:eastAsia="Times New Roman"/>
          <w:color w:val="464648"/>
          <w:sz w:val="22"/>
        </w:rPr>
        <w:t xml:space="preserve">à: </w:t>
      </w:r>
      <w:r>
        <w:rPr>
          <w:rStyle w:val="CharStyle58"/>
          <w:color w:val="464648"/>
        </w:rPr>
        <w:t xml:space="preserve">Keusch, Gerald T Cc: </w:t>
      </w:r>
      <w:r>
        <w:rPr>
          <w:rStyle w:val="CharStyle58"/>
          <w:color w:val="464648"/>
          <w:sz w:val="10"/>
        </w:rPr>
        <w:t xml:space="preserve">j st11rchi:&gt;</w:t>
      </w:r>
    </w:p>
    <w:p>
      <w:pPr>
        <w:pStyle w:val="Style57"/>
        <w:keepNext w:val="0"/>
        <w:keepLines w:val="0"/>
        <w:widowControl w:val="0"/>
        <w:shd w:val="clear" w:color="auto" w:fill="auto"/>
        <w:spacing w:before="0" w:after="0" w:line="293" w:lineRule="auto"/>
        <w:ind w:left="0" w:right="0" w:firstLine="580"/>
        <w:jc w:val="left"/>
      </w:pPr>
      <w:r>
        <w:rPr>
          <w:rStyle w:val="CharStyle58"/>
          <w:color w:val="464648"/>
        </w:rPr>
        <w:t xml:space="preserve">Objet: En ce qui concerne: The Intercept rend compte</w:t>
      </w:r>
    </w:p>
    <w:p>
      <w:pPr>
        <w:pStyle w:val="Style110"/>
        <w:keepNext w:val="0"/>
        <w:keepLines w:val="0"/>
        <w:widowControl w:val="0"/>
        <w:shd w:val="clear" w:color="auto" w:fill="auto"/>
        <w:spacing w:before="120" w:after="200" w:line="269" w:lineRule="auto"/>
        <w:ind w:left="580" w:right="0"/>
        <w:jc w:val="left"/>
        <w:rPr>
          <w:sz w:val="16"/>
        </w:rPr>
      </w:pPr>
      <w:r>
        <w:rPr>
          <w:rStyle w:val="CharStyle111"/>
          <w:sz w:val="16"/>
        </w:rPr>
        <w:t xml:space="preserve">Ils affirment que </w:t>
      </w:r>
      <w:r>
        <w:rPr>
          <w:rStyle w:val="CharStyle111"/>
          <w:color w:val="303030"/>
          <w:sz w:val="16"/>
        </w:rPr>
        <w:t xml:space="preserve">j’ai </w:t>
      </w:r>
      <w:r>
        <w:rPr>
          <w:rStyle w:val="CharStyle111"/>
          <w:sz w:val="16"/>
        </w:rPr>
        <w:t xml:space="preserve">commis un crime en utilisant mon Gmail pour éviter le foia et ont l’intention de m’intimider et de nih en exigeant </w:t>
      </w:r>
      <w:r>
        <w:rPr>
          <w:rStyle w:val="CharStyle111"/>
          <w:color w:val="303030"/>
          <w:sz w:val="16"/>
        </w:rPr>
        <w:t xml:space="preserve">que je </w:t>
      </w:r>
      <w:r>
        <w:rPr>
          <w:rStyle w:val="CharStyle111"/>
          <w:sz w:val="16"/>
        </w:rPr>
        <w:t xml:space="preserve">sois viré.</w:t>
      </w:r>
    </w:p>
    <w:p>
      <w:pPr>
        <w:pStyle w:val="Style110"/>
        <w:keepNext w:val="0"/>
        <w:keepLines w:val="0"/>
        <w:widowControl w:val="0"/>
        <w:shd w:val="clear" w:color="auto" w:fill="auto"/>
        <w:spacing w:before="0" w:after="700" w:line="269" w:lineRule="auto"/>
        <w:ind w:left="0" w:right="0" w:firstLine="580"/>
        <w:jc w:val="left"/>
        <w:rPr>
          <w:sz w:val="16"/>
        </w:rPr>
      </w:pPr>
      <w:r>
        <w:rPr>
          <w:rStyle w:val="CharStyle111"/>
          <w:color w:val="838481"/>
          <w:sz w:val="16"/>
        </w:rPr>
        <w:t xml:space="preserve">J'aurai </w:t>
      </w:r>
      <w:r>
        <w:rPr>
          <w:rStyle w:val="CharStyle111"/>
          <w:sz w:val="16"/>
        </w:rPr>
        <w:t xml:space="preserve">besoin de lire si ce que j'ai fait était un "crime" ou. comme je l'ai toujours compris, simplement une politique</w:t>
      </w:r>
    </w:p>
    <w:p>
      <w:pPr>
        <w:pStyle w:val="Style57"/>
        <w:keepNext w:val="0"/>
        <w:keepLines w:val="0"/>
        <w:widowControl w:val="0"/>
        <w:shd w:val="clear" w:color="auto" w:fill="auto"/>
        <w:spacing w:before="0" w:after="340" w:line="240" w:lineRule="auto"/>
        <w:ind w:left="0" w:right="320" w:firstLine="0"/>
        <w:jc w:val="right"/>
      </w:pPr>
      <w:r>
        <mc:AlternateContent>
          <mc:Choice Requires="wps">
            <w:drawing>
              <wp:anchor distT="0" distB="0" distL="114300" distR="114300" simplePos="0" relativeHeight="125829459" behindDoc="0" locked="0" layoutInCell="1" allowOverlap="1">
                <wp:simplePos x="0" y="0"/>
                <wp:positionH relativeFrom="page">
                  <wp:posOffset>1270000</wp:posOffset>
                </wp:positionH>
                <wp:positionV relativeFrom="paragraph">
                  <wp:posOffset>12700</wp:posOffset>
                </wp:positionV>
                <wp:extent cx="670560" cy="121920"/>
                <wp:wrapSquare wrapText="right"/>
                <wp:docPr id="160" name="Forme 160"/>
                <a:graphic xmlns:a="http://schemas.openxmlformats.org/drawingml/2006/main">
                  <a:graphicData uri="http://schemas.microsoft.com/office/word/2010/wordprocessingShape">
                    <wps:wsp>
                      <wps:cNvSpPr txBox="1"/>
                      <wps:spPr>
                        <a:xfrm>
                          <a:ext cx="670560" cy="121920"/>
                        </a:xfrm>
                        <a:prstGeom prst="rect"/>
                        <a:noFill/>
                      </wps:spPr>
                      <wps:txbx>
                        <w:txbxContent>
                          <w:p>
                            <w:pPr>
                              <w:pStyle w:val="Style57"/>
                              <w:keepNext w:val="0"/>
                              <w:keepLines w:val="0"/>
                              <w:widowControl w:val="0"/>
                              <w:shd w:val="clear" w:color="auto" w:fill="auto"/>
                              <w:spacing w:before="0" w:after="0" w:line="240" w:lineRule="auto"/>
                              <w:ind w:left="0" w:right="0" w:firstLine="0"/>
                              <w:jc w:val="left"/>
                            </w:pPr>
                            <w:r>
                              <w:rPr>
                                <w:rStyle w:val="CharStyle58"/>
                                <w:color w:val="464648"/>
                              </w:rPr>
                              <w:t>:ONF1DENTIAL</w:t>
                            </w:r>
                          </w:p>
                        </w:txbxContent>
                      </wps:txbx>
                      <wps:bodyPr wrap="none" lIns="0" tIns="0" rIns="0" bIns="0">
                        <a:noAutoFit/>
                      </wps:bodyPr>
                    </wps:wsp>
                  </a:graphicData>
                </a:graphic>
              </wp:anchor>
            </w:drawing>
          </mc:Choice>
        </mc:AlternateContent>
      </w:r>
      <w:r>
        <w:rPr>
          <w:rStyle w:val="CharStyle58"/>
          <w:color w:val="464648"/>
        </w:rPr>
        <w:t>HOTEZPROD00009697</w:t>
      </w:r>
    </w:p>
    <w:p>
      <w:pPr>
        <w:pStyle w:val="Style24"/>
        <w:keepNext w:val="0"/>
        <w:keepLines w:val="0"/>
        <w:widowControl w:val="0"/>
        <w:shd w:val="clear" w:color="auto" w:fill="auto"/>
        <w:spacing w:before="0"/>
        <w:ind w:left="0" w:right="0" w:firstLine="740"/>
        <w:jc w:val="left"/>
      </w:pPr>
      <w:r>
        <w:rPr>
          <w:rStyle w:val="CharStyle25"/>
        </w:rPr>
        <w:t xml:space="preserve">C'est un comportement inacceptable. Même s'il ne croyait pas que ses actions étaient un crime, le Dr Morens était toujours à l'aise de violer la politique des NIH. Ne pas comprendre qu'une action est un crime n'est pas une défense adéquate pour enfreindre la loi et la confiance du public américain.</w:t>
      </w:r>
    </w:p>
    <w:p>
      <w:pPr>
        <w:pStyle w:val="Style24"/>
        <w:keepNext w:val="0"/>
        <w:keepLines w:val="0"/>
        <w:widowControl w:val="0"/>
        <w:shd w:val="clear" w:color="auto" w:fill="auto"/>
        <w:spacing w:before="0" w:after="1920"/>
        <w:ind w:left="0" w:right="0" w:firstLine="740"/>
        <w:jc w:val="left"/>
      </w:pPr>
      <w:r>
        <w:rPr>
          <w:rStyle w:val="CharStyle25"/>
        </w:rPr>
        <w:t xml:space="preserve">Le Dr Morens a rappelé à ses collègues autour de lui les meilleures pratiques pour tenter d'échapper à la responsabilité. Le 1er août 2022, le Dr Morens a envoyé un courrier électronique à plusieurs associés, réitérant qu’ils devaient uniquement utiliser son Gmail personnel et supprimer tout autre courrier électronique de leurs contacts.</w:t>
      </w:r>
    </w:p>
    <w:p>
      <w:pPr>
        <w:pStyle w:val="Style24"/>
        <w:keepNext w:val="0"/>
        <w:keepLines w:val="0"/>
        <w:widowControl w:val="0"/>
        <w:shd w:val="clear" w:color="auto" w:fill="auto"/>
        <w:spacing w:before="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widowControl w:val="0"/>
        <w:jc w:val="center"/>
        <w:rPr>
          <w:sz w:val="2"/>
        </w:rPr>
      </w:pPr>
      <w:r>
        <w:drawing>
          <wp:inline>
            <wp:extent cx="6022975" cy="4321810"/>
            <wp:docPr id="162" name="Picutre 162"/>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6"/>
                    <a:stretch/>
                  </pic:blipFill>
                  <pic:spPr>
                    <a:xfrm>
                      <a:ext cx="6022975" cy="4321810"/>
                    </a:xfrm>
                    <a:prstGeom prst="rect"/>
                  </pic:spPr>
                </pic:pic>
              </a:graphicData>
            </a:graphic>
          </wp:inline>
        </w:drawing>
      </w:r>
    </w:p>
    <w:p>
      <w:pPr>
        <w:widowControl w:val="0"/>
        <w:spacing w:after="259" w:line="1" w:lineRule="exact"/>
      </w:pPr>
    </w:p>
    <w:p>
      <w:pPr>
        <w:pStyle w:val="Style24"/>
        <w:keepNext w:val="0"/>
        <w:keepLines w:val="0"/>
        <w:widowControl w:val="0"/>
        <w:shd w:val="clear" w:color="auto" w:fill="auto"/>
        <w:spacing w:before="0" w:after="1080"/>
        <w:ind w:left="0" w:right="0" w:firstLine="740"/>
        <w:jc w:val="left"/>
      </w:pPr>
      <w:r>
        <w:rPr>
          <w:rStyle w:val="CharStyle25"/>
        </w:rPr>
        <w:t xml:space="preserve">Ce modèle de comportement a semblé dégénérer au-delà de l'utilisation d'un compte Gmail pour éviter FOIA. Le 4 avril 2023, le Dr Morens a envoyé un courriel à plusieurs collègues de son compte Proton crypté de bout en bout.</w:t>
        <w:footnoteReference w:id="367"/>
        <w:t xml:space="preserve"> Ce message visait à les avertir que le sous-comité restreint avait demandé des copies papier du compte Gmail du Dr Morens et que, comme lui et ses collègues avaient par inadvertance envoyé un courriel à son compte Gmail, leur correspondance serait incluse. Le Dr Morens a ensuite donné d'autres instructions sur la façon de procéder lorsqu'il communique avec lui par courriel. Il a déclaré: «Veuillez vous assurer que [tout ce que vous] m’envoyez 1) [se rend] sur mon nouveau compte et 2) ne contient pas de piste de courrier électronique contenant d’anciens courriels contenant mon compte Gmail ou [gouvernement]».</w:t>
        <w:footnoteReference w:id="368"/>
      </w:r>
    </w:p>
    <w:p>
      <w:pPr>
        <w:pStyle w:val="Style24"/>
        <w:keepNext w:val="0"/>
        <w:keepLines w:val="0"/>
        <w:widowControl w:val="0"/>
        <w:shd w:val="clear" w:color="auto" w:fill="auto"/>
        <w:spacing w:before="0" w:after="0" w:line="240" w:lineRule="auto"/>
        <w:ind w:left="0" w:right="0" w:firstLine="0"/>
        <w:jc w:val="center"/>
      </w:pPr>
      <w:r>
        <w:rPr>
          <w:rStyle w:val="CharStyle25"/>
        </w:rPr>
        <w:t xml:space="preserve">[REMAINDER OF PAGE INTENTIONALLY BLANK]</w:t>
      </w:r>
    </w:p>
    <w:p>
      <w:pPr>
        <w:pStyle w:val="Style36"/>
        <w:keepNext w:val="0"/>
        <w:keepLines w:val="0"/>
        <w:widowControl w:val="0"/>
        <w:shd w:val="clear" w:color="auto" w:fill="auto"/>
        <w:spacing w:before="0" w:after="0" w:line="240" w:lineRule="auto"/>
        <w:ind w:left="0" w:right="0" w:firstLine="0"/>
        <w:jc w:val="left"/>
      </w:pPr>
      <w:r>
        <w:rPr>
          <w:rStyle w:val="CharStyle37"/>
          <w:color w:val="464648"/>
        </w:rPr>
        <w:t xml:space="preserve">À partir de: kuuipo9</w:t>
      </w:r>
    </w:p>
    <w:p>
      <w:pPr>
        <w:pStyle w:val="Style36"/>
        <w:keepNext w:val="0"/>
        <w:keepLines w:val="0"/>
        <w:widowControl w:val="0"/>
        <w:shd w:val="clear" w:color="auto" w:fill="auto"/>
        <w:tabs>
          <w:tab w:pos="7070" w:val="left"/>
          <w:tab w:leader="underscore" w:pos="8693" w:val="left"/>
        </w:tabs>
        <w:spacing w:before="0" w:after="0" w:line="240" w:lineRule="auto"/>
        <w:ind w:left="0" w:right="0" w:firstLine="0"/>
        <w:jc w:val="left"/>
      </w:pPr>
      <w:r>
        <w:rPr>
          <w:rStyle w:val="CharStyle37"/>
          <w:color w:val="464648"/>
        </w:rPr>
        <w:t xml:space="preserve">Envoyé: Mardi 4 avril 2023 07:02 </w:t>
      </w:r>
      <w:r>
        <w:rPr>
          <w:rStyle w:val="CharStyle37"/>
          <w:color w:val="000000"/>
        </w:rPr>
        <w:tab/>
      </w:r>
    </w:p>
    <w:p>
      <w:pPr>
        <w:pStyle w:val="Style57"/>
        <w:keepNext w:val="0"/>
        <w:keepLines w:val="0"/>
        <w:widowControl w:val="0"/>
        <w:shd w:val="clear" w:color="auto" w:fill="auto"/>
        <w:tabs>
          <w:tab w:pos="2928" w:val="left"/>
          <w:tab w:pos="6730" w:val="left"/>
        </w:tabs>
        <w:spacing w:before="0" w:after="240" w:line="240" w:lineRule="auto"/>
        <w:ind w:left="0" w:right="0" w:firstLine="0"/>
        <w:jc w:val="left"/>
      </w:pPr>
      <w:r>
        <w:rPr>
          <w:rStyle w:val="CharStyle58"/>
          <w:color w:val="303030"/>
        </w:rPr>
        <w:t xml:space="preserve">À l'attention de: i&lt;r-u vh</w:t>
      </w:r>
      <w:r>
        <w:rPr>
          <w:rStyle w:val="CharStyle58"/>
          <w:color w:val="303030"/>
          <w:u w:val="single"/>
        </w:rPr>
        <w:t xml:space="preserve">. A f' i.: d I</w:t>
      </w:r>
      <w:r>
        <w:rPr>
          <w:rStyle w:val="CharStyle58"/>
          <w:color w:val="303030"/>
        </w:rPr>
        <w:tab/>
        <w:t xml:space="preserve">I■■■“;» : i</w:t>
        <w:tab/>
        <w:t>;..</w:t>
      </w:r>
    </w:p>
    <w:p>
      <w:pPr>
        <w:pStyle w:val="Style36"/>
        <w:keepNext w:val="0"/>
        <w:keepLines w:val="0"/>
        <w:widowControl w:val="0"/>
        <w:shd w:val="clear" w:color="auto" w:fill="auto"/>
        <w:spacing w:before="0" w:after="240" w:line="240" w:lineRule="auto"/>
        <w:ind w:left="0" w:right="0" w:firstLine="0"/>
        <w:jc w:val="left"/>
      </w:pPr>
      <w:r>
        <w:rPr>
          <w:rStyle w:val="CharStyle37"/>
          <w:color w:val="464648"/>
        </w:rPr>
        <w:t xml:space="preserve">Objet: Gmail foia</w:t>
      </w:r>
    </w:p>
    <w:p>
      <w:pPr>
        <w:pStyle w:val="Style36"/>
        <w:keepNext w:val="0"/>
        <w:keepLines w:val="0"/>
        <w:widowControl w:val="0"/>
        <w:shd w:val="clear" w:color="auto" w:fill="auto"/>
        <w:spacing w:before="0" w:after="240" w:line="240" w:lineRule="auto"/>
        <w:ind w:left="0" w:right="0" w:firstLine="0"/>
        <w:jc w:val="left"/>
      </w:pPr>
      <w:r>
        <w:rPr>
          <w:rStyle w:val="CharStyle37"/>
          <w:color w:val="464648"/>
        </w:rPr>
        <w:t xml:space="preserve">Pierre et tous,</w:t>
      </w:r>
    </w:p>
    <w:p>
      <w:pPr>
        <w:pStyle w:val="Style110"/>
        <w:keepNext w:val="0"/>
        <w:keepLines w:val="0"/>
        <w:widowControl w:val="0"/>
        <w:shd w:val="clear" w:color="auto" w:fill="auto"/>
        <w:spacing w:before="0" w:after="680" w:line="240" w:lineRule="auto"/>
        <w:ind w:left="0" w:right="0" w:firstLine="0"/>
        <w:jc w:val="left"/>
        <w:rPr>
          <w:sz w:val="18"/>
        </w:rPr>
      </w:pPr>
      <w:r>
        <w:rPr>
          <w:rStyle w:val="CharStyle111"/>
          <w:sz w:val="18"/>
        </w:rPr>
        <w:t xml:space="preserve">J'ai reçu un appel du bldg 1 ce matin à 6h30. Le comité de la Chambre veut des copies papier de TOUT mon Gmail relatif</w:t>
      </w:r>
    </w:p>
    <w:p>
      <w:pPr>
        <w:pStyle w:val="Style36"/>
        <w:keepNext w:val="0"/>
        <w:keepLines w:val="0"/>
        <w:widowControl w:val="0"/>
        <w:shd w:val="clear" w:color="auto" w:fill="auto"/>
        <w:spacing w:before="0" w:after="240" w:line="240" w:lineRule="auto"/>
        <w:ind w:left="0" w:right="0" w:firstLine="0"/>
        <w:jc w:val="left"/>
      </w:pPr>
      <w:r>
        <w:rPr>
          <w:rStyle w:val="CharStyle37"/>
          <w:color w:val="464648"/>
          <w:u w:val="single"/>
        </w:rPr>
        <w:t>JNFIDENTIAL</w:t>
      </w:r>
      <w:r>
        <w:rPr>
          <w:rStyle w:val="CharStyle37"/>
          <w:color w:val="C00000"/>
        </w:rPr>
        <w:t xml:space="preserve"> </w:t>
      </w:r>
      <w:r>
        <w:rPr>
          <w:rStyle w:val="CharStyle37"/>
          <w:color w:val="464648"/>
          <w:u w:val="single"/>
        </w:rPr>
        <w:t>HOTEZPROD00009891</w:t>
      </w:r>
    </w:p>
    <w:p>
      <w:pPr>
        <w:pStyle w:val="Style110"/>
        <w:keepNext w:val="0"/>
        <w:keepLines w:val="0"/>
        <w:widowControl w:val="0"/>
        <w:shd w:val="clear" w:color="auto" w:fill="auto"/>
        <w:spacing w:before="0" w:after="240" w:line="266" w:lineRule="auto"/>
        <w:ind w:left="0" w:right="0" w:firstLine="140"/>
        <w:jc w:val="left"/>
        <w:rPr>
          <w:sz w:val="18"/>
        </w:rPr>
      </w:pPr>
      <w:r>
        <w:rPr>
          <w:rStyle w:val="CharStyle111"/>
          <w:sz w:val="18"/>
        </w:rPr>
        <w:t xml:space="preserve">À VOUS, Peter, Ian Lipkin, et à tous les journalistes de Bloomberg avec qui j'ai communiqué. Je dois fournir ceci par COB aujourd'hui</w:t>
      </w:r>
    </w:p>
    <w:p>
      <w:pPr>
        <w:pStyle w:val="Style110"/>
        <w:keepNext w:val="0"/>
        <w:keepLines w:val="0"/>
        <w:widowControl w:val="0"/>
        <w:shd w:val="clear" w:color="auto" w:fill="auto"/>
        <w:spacing w:before="0" w:after="240" w:line="276" w:lineRule="auto"/>
        <w:ind w:left="0" w:right="0" w:firstLine="140"/>
        <w:jc w:val="left"/>
        <w:rPr>
          <w:sz w:val="18"/>
        </w:rPr>
      </w:pPr>
      <w:r>
        <w:rPr>
          <w:rStyle w:val="CharStyle111"/>
          <w:sz w:val="18"/>
        </w:rPr>
        <w:t xml:space="preserve">J’ai parlé et envoyé des courriels à divers journalistes de Bloomberg au fil des ans, mais je ne me souviens plus à qui j’ai dit quoi faire. Très probablement Jason Gale. Je ne me souviens pas avoir parlé à Lan ces derniers temps. Je pense que lui et moi avons eu un appel Zoom au début de la pandémie. S'il vous plaît donnez-lui une tête pour moi</w:t>
      </w:r>
    </w:p>
    <w:p>
      <w:pPr>
        <w:pStyle w:val="Style110"/>
        <w:keepNext w:val="0"/>
        <w:keepLines w:val="0"/>
        <w:widowControl w:val="0"/>
        <w:shd w:val="clear" w:color="auto" w:fill="auto"/>
        <w:spacing w:before="0" w:after="240" w:line="276" w:lineRule="auto"/>
        <w:ind w:left="0" w:right="0" w:firstLine="140"/>
        <w:jc w:val="left"/>
        <w:rPr>
          <w:sz w:val="18"/>
        </w:rPr>
      </w:pPr>
      <w:r>
        <w:rPr>
          <w:rStyle w:val="CharStyle111"/>
          <w:sz w:val="18"/>
        </w:rPr>
        <w:t xml:space="preserve">Incidemment, au cours du dernier mois, vous avez tous envoyé par inadvertance des courriels à mon compte Gmail à plusieurs reprises.</w:t>
      </w:r>
    </w:p>
    <w:p>
      <w:pPr>
        <w:pStyle w:val="Style110"/>
        <w:keepNext w:val="0"/>
        <w:keepLines w:val="0"/>
        <w:widowControl w:val="0"/>
        <w:shd w:val="clear" w:color="auto" w:fill="auto"/>
        <w:spacing w:before="0" w:after="240" w:line="276" w:lineRule="auto"/>
        <w:ind w:left="0" w:right="0" w:firstLine="140"/>
        <w:jc w:val="left"/>
        <w:rPr>
          <w:sz w:val="18"/>
        </w:rPr>
      </w:pPr>
      <w:r>
        <w:rPr>
          <w:rStyle w:val="CharStyle111"/>
          <w:sz w:val="18"/>
        </w:rPr>
        <w:t xml:space="preserve">S'il vous plaît assurez-vous que tout ce que vous m'envoyez I) goc.s à mon nouveau compte et 2) ne contient pas de piste d'email avec d'anciens e-mails contenant mon compte Gmail ou govt</w:t>
      </w:r>
    </w:p>
    <w:p>
      <w:pPr>
        <w:pStyle w:val="Style110"/>
        <w:keepNext w:val="0"/>
        <w:keepLines w:val="0"/>
        <w:widowControl w:val="0"/>
        <w:shd w:val="clear" w:color="auto" w:fill="auto"/>
        <w:spacing w:before="0" w:after="680" w:line="276" w:lineRule="auto"/>
        <w:ind w:left="0" w:right="0" w:firstLine="0"/>
        <w:jc w:val="left"/>
        <w:rPr>
          <w:sz w:val="18"/>
        </w:rPr>
      </w:pPr>
      <w:r>
        <w:rPr>
          <w:rStyle w:val="CharStyle111"/>
          <w:sz w:val="18"/>
        </w:rPr>
        <w:t xml:space="preserve">Désolé pour ce désagrément, j'essaie juste de nous protéger tous. david</w:t>
      </w:r>
    </w:p>
    <w:p>
      <w:pPr>
        <w:pStyle w:val="Style110"/>
        <w:keepNext w:val="0"/>
        <w:keepLines w:val="0"/>
        <w:widowControl w:val="0"/>
        <w:shd w:val="clear" w:color="auto" w:fill="auto"/>
        <w:spacing w:before="0" w:after="560" w:line="240" w:lineRule="auto"/>
        <w:ind w:left="0" w:right="0" w:firstLine="0"/>
        <w:jc w:val="left"/>
        <w:rPr>
          <w:sz w:val="18"/>
        </w:rPr>
      </w:pPr>
      <w:r>
        <w:rPr>
          <w:rStyle w:val="CharStyle111"/>
          <w:sz w:val="18"/>
        </w:rPr>
        <w:t xml:space="preserve">Envoyé par Proton Mail mobile</w:t>
      </w:r>
    </w:p>
    <w:p>
      <w:pPr>
        <w:pStyle w:val="Style24"/>
        <w:keepNext w:val="0"/>
        <w:keepLines w:val="0"/>
        <w:widowControl w:val="0"/>
        <w:shd w:val="clear" w:color="auto" w:fill="auto"/>
        <w:spacing w:before="0" w:after="240" w:line="264" w:lineRule="auto"/>
        <w:ind w:left="0" w:right="0" w:firstLine="740"/>
        <w:jc w:val="left"/>
      </w:pPr>
      <w:r>
        <w:rPr>
          <w:rStyle w:val="CharStyle25"/>
        </w:rPr>
        <w:t xml:space="preserve">Le Dr Morens savait que l'utilisation d'un compte de courrier électronique personnel distinct pour échapper à la FOIA n'était pas autorisée. Pourtant, il a pris des mesures supplémentaires pour essayer d'éviter la transparence et la responsabilité. Il a créé une adresse électronique supplémentaire cryptée de bout en bout et a demandé à ses collègues d’envoyer des communications à cette adresse protégée et de ne pas « contaminer » le nouveau courrier électronique en renvoyant d’anciennes correspondances.</w:t>
      </w:r>
    </w:p>
    <w:p>
      <w:pPr>
        <w:pStyle w:val="Style24"/>
        <w:keepNext w:val="0"/>
        <w:keepLines w:val="0"/>
        <w:widowControl w:val="0"/>
        <w:shd w:val="clear" w:color="auto" w:fill="auto"/>
        <w:spacing w:before="0" w:after="300" w:line="259" w:lineRule="auto"/>
        <w:ind w:left="0" w:right="0" w:firstLine="740"/>
        <w:jc w:val="left"/>
      </w:pPr>
      <w:r>
        <w:rPr>
          <w:rStyle w:val="CharStyle25"/>
        </w:rPr>
        <w:t xml:space="preserve">Au cours de l'entrevue transcrite avec le Dr Morens, le sous-comité spécial lui a demandé s'il avait d'autres comptes de courriel que ses comptes de travail ou personnels. </w:t>
        <w:footnoteReference w:id="369"/>
        <w:t xml:space="preserve">Il a répondu non.</w:t>
      </w:r>
    </w:p>
    <w:p>
      <w:pPr>
        <w:pStyle w:val="Style24"/>
        <w:keepNext w:val="0"/>
        <w:keepLines w:val="0"/>
        <w:widowControl w:val="0"/>
        <w:shd w:val="clear" w:color="auto" w:fill="auto"/>
        <w:spacing w:before="0" w:after="240" w:line="264" w:lineRule="auto"/>
        <w:ind w:left="0" w:right="0" w:firstLine="740"/>
        <w:jc w:val="left"/>
      </w:pPr>
      <w:r>
        <w:rPr>
          <w:rStyle w:val="CharStyle25"/>
          <w:u w:val="single"/>
        </w:rPr>
        <w:t xml:space="preserve">Dr David Morens (18 janvier 2024)</w:t>
      </w:r>
    </w:p>
    <w:p>
      <w:pPr>
        <w:pStyle w:val="Style24"/>
        <w:keepNext w:val="0"/>
        <w:keepLines w:val="0"/>
        <w:widowControl w:val="0"/>
        <w:shd w:val="clear" w:color="auto" w:fill="auto"/>
        <w:spacing w:before="0" w:after="240" w:line="264" w:lineRule="auto"/>
        <w:ind w:left="1460" w:right="0" w:hanging="720"/>
        <w:jc w:val="left"/>
      </w:pPr>
      <w:r>
        <w:rPr>
          <w:rStyle w:val="CharStyle25"/>
        </w:rPr>
        <w:t xml:space="preserve">Q. Avez-vous d'autres comptes de messagerie personnels comme AOL de Yahoo? Gmail n’était pas toujours là.</w:t>
      </w:r>
    </w:p>
    <w:p>
      <w:pPr>
        <w:pStyle w:val="Style24"/>
        <w:keepNext w:val="0"/>
        <w:keepLines w:val="0"/>
        <w:widowControl w:val="0"/>
        <w:shd w:val="clear" w:color="auto" w:fill="auto"/>
        <w:spacing w:before="0" w:after="240" w:line="264" w:lineRule="auto"/>
        <w:ind w:left="0" w:right="0" w:firstLine="740"/>
        <w:jc w:val="left"/>
      </w:pPr>
      <w:r>
        <w:rPr>
          <w:rStyle w:val="CharStyle25"/>
        </w:rPr>
        <w:t xml:space="preserve">A. Est-ce que j'avais quelque chose avant Gmail?</w:t>
      </w:r>
    </w:p>
    <w:p>
      <w:pPr>
        <w:pStyle w:val="Style24"/>
        <w:keepNext w:val="0"/>
        <w:keepLines w:val="0"/>
        <w:widowControl w:val="0"/>
        <w:shd w:val="clear" w:color="auto" w:fill="auto"/>
        <w:spacing w:before="0" w:after="220" w:line="264" w:lineRule="auto"/>
        <w:ind w:left="1460" w:right="0" w:hanging="720"/>
        <w:jc w:val="left"/>
      </w:pPr>
      <w:r>
        <w:rPr>
          <w:rStyle w:val="CharStyle25"/>
        </w:rPr>
        <w:t xml:space="preserve">Q. Avant ou à l'époque de Gmail. Quand vous dites adresses, parlez-vous spécifiquement du Gmail?</w: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R. Le seul e-mail que j'ai eu était mon e-mail gouvernemental et mon Gmail. </w:t>
        <w:footnoteReference w:id="370"/>
      </w:r>
    </w:p>
    <w:p>
      <w:pPr>
        <w:pStyle w:val="Style24"/>
        <w:keepNext w:val="0"/>
        <w:keepLines w:val="0"/>
        <w:widowControl w:val="0"/>
        <w:shd w:val="clear" w:color="auto" w:fill="auto"/>
        <w:spacing w:before="0" w:after="400"/>
        <w:ind w:left="0" w:right="0" w:firstLine="740"/>
        <w:jc w:val="left"/>
      </w:pPr>
      <w:r>
        <w:rPr>
          <w:rStyle w:val="CharStyle25"/>
        </w:rPr>
        <w:t xml:space="preserve">Le Dr Morens a parlé d'éviter la FOIA et de garder les communications sur des courriels privés à des personnes en dehors de son cercle de cohortes. Le 7 décembre 2021, le Dr Morens a envoyé un courriel à un membre du conseil d'administration d'EcoHealth Alliance Inc. Même s'il utilisait son courriel personnel, il se reconnaît immédiatement comme un scientifique des NIH, s'associe au Dr Fauci et déclare clairement qu'il doit utiliser un courriel personnel parce que son adresse gouvernementale est vulnérable à la FOIA. Le Dr Morens établit clairement qu'il utilise son courrier G pour mener des affaires en sa qualité officielle d'employé des NIH, dans le but d'échapper à la FOIA.</w:t>
      </w:r>
    </w:p>
    <w:p>
      <w:pPr>
        <w:pStyle w:val="Style57"/>
        <w:keepNext w:val="0"/>
        <w:keepLines w:val="0"/>
        <w:widowControl w:val="0"/>
        <w:shd w:val="clear" w:color="auto" w:fill="auto"/>
        <w:tabs>
          <w:tab w:pos="5292" w:val="left"/>
        </w:tabs>
        <w:spacing w:before="0" w:after="220" w:line="240" w:lineRule="auto"/>
        <w:ind w:left="0" w:right="0" w:firstLine="180"/>
        <w:jc w:val="left"/>
      </w:pPr>
      <w:r>
        <w:rPr>
          <w:rStyle w:val="CharStyle58"/>
          <w:color w:val="000000"/>
        </w:rPr>
        <w:t xml:space="preserve">I </w:t>
      </w:r>
      <w:r>
        <w:rPr>
          <w:rStyle w:val="CharStyle58"/>
          <w:color w:val="303030"/>
        </w:rPr>
        <w:t xml:space="preserve">ill O j i. 1.4 : iAI, « i ijy id</w:t>
        <w:tab/>
        <w:t xml:space="preserve">v :H ⁇ ■_</w:t>
      </w:r>
    </w:p>
    <w:p>
      <w:pPr>
        <w:pStyle w:val="Style110"/>
        <w:keepNext w:val="0"/>
        <w:keepLines w:val="0"/>
        <w:widowControl w:val="0"/>
        <w:shd w:val="clear" w:color="auto" w:fill="auto"/>
        <w:spacing w:before="0" w:line="240" w:lineRule="auto"/>
        <w:ind w:left="180" w:right="0" w:firstLine="0"/>
        <w:jc w:val="left"/>
        <w:rPr>
          <w:sz w:val="18"/>
        </w:rPr>
      </w:pPr>
      <w:r>
        <w:rPr>
          <w:rStyle w:val="CharStyle111"/>
          <w:color w:val="303030"/>
          <w:sz w:val="18"/>
        </w:rPr>
        <w:t xml:space="preserve">Bonjour </w:t>
      </w:r>
      <w:r>
        <w:rPr>
          <w:rStyle w:val="CharStyle111"/>
          <w:sz w:val="18"/>
        </w:rPr>
        <w:t xml:space="preserve">Nancye, vous ne vous souvenez peut-être pas que nous nous sommes rencontrés il y a quelques années, je ne me souviens pas exactement où, mais </w:t>
      </w:r>
      <w:r>
        <w:rPr>
          <w:rStyle w:val="CharStyle111"/>
          <w:color w:val="303030"/>
          <w:sz w:val="18"/>
        </w:rPr>
        <w:t xml:space="preserve">je vous écris </w:t>
      </w:r>
      <w:r>
        <w:rPr>
          <w:rStyle w:val="CharStyle111"/>
          <w:sz w:val="18"/>
        </w:rPr>
        <w:t xml:space="preserve">parce que </w:t>
      </w:r>
      <w:r>
        <w:rPr>
          <w:rStyle w:val="CharStyle111"/>
          <w:color w:val="303030"/>
          <w:sz w:val="18"/>
        </w:rPr>
        <w:t xml:space="preserve">je </w:t>
      </w:r>
      <w:r>
        <w:rPr>
          <w:rStyle w:val="CharStyle111"/>
          <w:sz w:val="18"/>
        </w:rPr>
        <w:t xml:space="preserve">crois que </w:t>
      </w:r>
      <w:r>
        <w:rPr>
          <w:rStyle w:val="CharStyle111"/>
          <w:color w:val="303030"/>
          <w:sz w:val="18"/>
        </w:rPr>
        <w:t xml:space="preserve">vous </w:t>
      </w:r>
      <w:r>
        <w:rPr>
          <w:rStyle w:val="CharStyle111"/>
          <w:sz w:val="18"/>
        </w:rPr>
        <w:t xml:space="preserve">faites partie du conseil d'administration d'EcoHealth, </w:t>
      </w:r>
      <w:r>
        <w:rPr>
          <w:rStyle w:val="CharStyle111"/>
          <w:color w:val="303030"/>
          <w:sz w:val="18"/>
        </w:rPr>
        <w:t xml:space="preserve">et </w:t>
      </w:r>
      <w:r>
        <w:rPr>
          <w:rStyle w:val="CharStyle111"/>
          <w:sz w:val="18"/>
        </w:rPr>
        <w:t xml:space="preserve">que vous voulez dire un mot à Peter </w:t>
      </w:r>
      <w:r>
        <w:rPr>
          <w:rStyle w:val="CharStyle111"/>
          <w:color w:val="303030"/>
          <w:sz w:val="18"/>
        </w:rPr>
        <w:t xml:space="preserve">et </w:t>
      </w:r>
      <w:r>
        <w:rPr>
          <w:rStyle w:val="CharStyle111"/>
          <w:sz w:val="18"/>
        </w:rPr>
        <w:t xml:space="preserve">à l'équipe d'EcoHealth, et à tout l'excellent travail qu'ils ont fait,</w:t>
      </w:r>
    </w:p>
    <w:p>
      <w:pPr>
        <w:pStyle w:val="Style110"/>
        <w:keepNext w:val="0"/>
        <w:keepLines w:val="0"/>
        <w:widowControl w:val="0"/>
        <w:shd w:val="clear" w:color="auto" w:fill="auto"/>
        <w:spacing w:before="0" w:after="560" w:line="240" w:lineRule="auto"/>
        <w:ind w:left="180" w:right="0" w:firstLine="0"/>
        <w:jc w:val="left"/>
        <w:rPr>
          <w:sz w:val="18"/>
        </w:rPr>
      </w:pPr>
      <w:r>
        <w:rPr>
          <w:rStyle w:val="CharStyle111"/>
          <w:color w:val="303030"/>
          <w:sz w:val="18"/>
        </w:rPr>
        <w:t xml:space="preserve">Je </w:t>
      </w:r>
      <w:r>
        <w:rPr>
          <w:rStyle w:val="CharStyle111"/>
          <w:sz w:val="18"/>
        </w:rPr>
        <w:t xml:space="preserve">suis </w:t>
      </w:r>
      <w:r>
        <w:rPr>
          <w:rStyle w:val="CharStyle111"/>
          <w:color w:val="303030"/>
          <w:sz w:val="18"/>
        </w:rPr>
        <w:t xml:space="preserve">un </w:t>
      </w:r>
      <w:r>
        <w:rPr>
          <w:rStyle w:val="CharStyle111"/>
          <w:sz w:val="18"/>
        </w:rPr>
        <w:t xml:space="preserve">scientifique au NIH, mais à cause </w:t>
      </w:r>
      <w:r>
        <w:rPr>
          <w:rStyle w:val="CharStyle111"/>
          <w:color w:val="303030"/>
          <w:sz w:val="18"/>
        </w:rPr>
        <w:t xml:space="preserve">des menaces de </w:t>
      </w:r>
      <w:r>
        <w:rPr>
          <w:rStyle w:val="CharStyle111"/>
          <w:sz w:val="18"/>
        </w:rPr>
        <w:t xml:space="preserve">mort </w:t>
      </w:r>
      <w:r>
        <w:rPr>
          <w:rStyle w:val="CharStyle111"/>
          <w:color w:val="303030"/>
          <w:sz w:val="18"/>
        </w:rPr>
        <w:t xml:space="preserve">et du harcèlement général </w:t>
      </w:r>
      <w:r>
        <w:rPr>
          <w:rStyle w:val="CharStyle111"/>
          <w:sz w:val="18"/>
        </w:rPr>
        <w:t xml:space="preserve">contre moi et plus particulièrement mon patron, Tony Fauci, </w:t>
      </w:r>
      <w:r>
        <w:rPr>
          <w:rStyle w:val="CharStyle111"/>
          <w:color w:val="303030"/>
          <w:sz w:val="18"/>
        </w:rPr>
        <w:t xml:space="preserve">nous devons </w:t>
      </w:r>
      <w:r>
        <w:rPr>
          <w:rStyle w:val="CharStyle111"/>
          <w:sz w:val="18"/>
        </w:rPr>
        <w:t xml:space="preserve">garder </w:t>
      </w:r>
      <w:r>
        <w:rPr>
          <w:rStyle w:val="CharStyle111"/>
          <w:color w:val="303030"/>
          <w:sz w:val="18"/>
        </w:rPr>
        <w:t xml:space="preserve">toutes les </w:t>
      </w:r>
      <w:r>
        <w:rPr>
          <w:rStyle w:val="CharStyle111"/>
          <w:sz w:val="18"/>
        </w:rPr>
        <w:t xml:space="preserve">communications comme celle-ci sur le courrier électronique privé afin </w:t>
      </w:r>
      <w:r>
        <w:rPr>
          <w:rStyle w:val="CharStyle111"/>
          <w:color w:val="303030"/>
          <w:sz w:val="18"/>
        </w:rPr>
        <w:t xml:space="preserve">qu'il </w:t>
      </w:r>
      <w:r>
        <w:rPr>
          <w:rStyle w:val="CharStyle111"/>
          <w:sz w:val="18"/>
        </w:rPr>
        <w:t xml:space="preserve">ne puisse pas être</w:t>
      </w:r>
    </w:p>
    <w:p>
      <w:pPr>
        <w:pStyle w:val="Style39"/>
        <w:keepNext w:val="0"/>
        <w:keepLines w:val="0"/>
        <w:widowControl w:val="0"/>
        <w:shd w:val="clear" w:color="auto" w:fill="auto"/>
        <w:spacing w:before="0" w:after="680" w:line="240" w:lineRule="auto"/>
        <w:ind w:left="0" w:right="0" w:firstLine="0"/>
        <w:jc w:val="right"/>
        <w:rPr>
          <w:sz w:val="20"/>
        </w:rPr>
      </w:pPr>
      <w:r>
        <w:rPr>
          <w:rStyle w:val="CharStyle40"/>
          <w:color w:val="303030"/>
          <w:sz w:val="20"/>
        </w:rPr>
        <w:t xml:space="preserve">MORENS SUBPOENA 019667</w:t>
      </w:r>
    </w:p>
    <w:p>
      <w:pPr>
        <w:pStyle w:val="Style110"/>
        <w:keepNext w:val="0"/>
        <w:keepLines w:val="0"/>
        <w:widowControl w:val="0"/>
        <w:shd w:val="clear" w:color="auto" w:fill="auto"/>
        <w:spacing w:before="0" w:after="440" w:line="240" w:lineRule="auto"/>
        <w:ind w:left="180" w:right="0" w:firstLine="0"/>
        <w:jc w:val="left"/>
        <w:rPr>
          <w:sz w:val="18"/>
        </w:rPr>
      </w:pPr>
      <w:r>
        <w:rPr>
          <w:rStyle w:val="CharStyle111"/>
          <w:sz w:val="18"/>
        </w:rPr>
        <w:t xml:space="preserve">récupérés </w:t>
      </w:r>
      <w:r>
        <w:rPr>
          <w:rStyle w:val="CharStyle111"/>
          <w:color w:val="656361"/>
          <w:sz w:val="18"/>
        </w:rPr>
        <w:t xml:space="preserve">via </w:t>
      </w:r>
      <w:r>
        <w:rPr>
          <w:rStyle w:val="CharStyle111"/>
          <w:sz w:val="18"/>
        </w:rPr>
        <w:t xml:space="preserve">une FOIA, comme nous avons été si souvent FOIA, nous avons tous perdu le compte, et nous avons dû mettre en place une équipe spéciale FOIA </w:t>
      </w:r>
      <w:r>
        <w:rPr>
          <w:rStyle w:val="CharStyle111"/>
          <w:color w:val="656361"/>
          <w:sz w:val="18"/>
        </w:rPr>
        <w:t xml:space="preserve">juste </w:t>
      </w:r>
      <w:r>
        <w:rPr>
          <w:rStyle w:val="CharStyle111"/>
          <w:sz w:val="18"/>
        </w:rPr>
        <w:t xml:space="preserve">sur la question </w:t>
      </w:r>
      <w:r>
        <w:rPr>
          <w:rStyle w:val="CharStyle111"/>
          <w:color w:val="656361"/>
          <w:sz w:val="18"/>
        </w:rPr>
        <w:t xml:space="preserve">de </w:t>
      </w:r>
      <w:r>
        <w:rPr>
          <w:rStyle w:val="CharStyle111"/>
          <w:sz w:val="18"/>
        </w:rPr>
        <w:t xml:space="preserve">Peter et les questions connexes.</w:t>
      </w:r>
    </w:p>
    <w:p>
      <w:pPr>
        <w:pStyle w:val="Style24"/>
        <w:keepNext w:val="0"/>
        <w:keepLines w:val="0"/>
        <w:widowControl w:val="0"/>
        <w:shd w:val="clear" w:color="auto" w:fill="auto"/>
        <w:spacing w:before="0" w:after="800" w:line="264" w:lineRule="auto"/>
        <w:ind w:left="0" w:right="0" w:firstLine="740"/>
        <w:jc w:val="left"/>
      </w:pPr>
      <w:r>
        <w:rPr>
          <w:rStyle w:val="CharStyle25"/>
        </w:rPr>
        <w:t xml:space="preserve">Le Dr Morens, par l’intermédiaire du Dr Keusch, a exprimé une préoccupation, qui provenait apparemment du Dr Fauci, selon laquelle une FOIA pourrait capturer les messages texte du Dr Morens sur son téléphone gouvernemental. Le Dr Keusch a déclaré que le Dr Morens s’inquiétait de la confidentialité des SMS et autres messages de son téléphone portable... Cela venait de Tony dans leur conversation de ce matin.»</w:t>
        <w:footnoteReference w:id="371"/>
      </w:r>
    </w:p>
    <w:p>
      <w:pPr>
        <w:pStyle w:val="Style24"/>
        <w:keepNext w:val="0"/>
        <w:keepLines w:val="0"/>
        <w:widowControl w:val="0"/>
        <w:shd w:val="clear" w:color="auto" w:fill="auto"/>
        <w:spacing w:before="0" w:after="420" w:line="240" w:lineRule="auto"/>
        <w:ind w:left="0" w:right="0" w:firstLine="0"/>
        <w:jc w:val="center"/>
      </w:pPr>
      <w:r>
        <w:rPr>
          <w:rStyle w:val="CharStyle25"/>
        </w:rPr>
        <w:t xml:space="preserve">[REMAINDER OF PAGE INTENTIONALLY BLANK]</w:t>
      </w:r>
    </w:p>
    <w:p>
      <w:pPr>
        <w:pStyle w:val="Style18"/>
        <w:keepNext w:val="0"/>
        <w:keepLines w:val="0"/>
        <w:widowControl w:val="0"/>
        <w:shd w:val="clear" w:color="auto" w:fill="auto"/>
        <w:tabs>
          <w:tab w:pos="1500" w:val="left"/>
        </w:tabs>
        <w:spacing w:before="0" w:after="0" w:line="240" w:lineRule="auto"/>
        <w:ind w:left="0" w:right="0" w:firstLine="160"/>
        <w:jc w:val="left"/>
        <w:rPr>
          <w:sz w:val="12"/>
        </w:rPr>
      </w:pPr>
      <w:r>
        <w:rPr>
          <w:rStyle w:val="CharStyle19"/>
          <w:rFonts w:ascii="Arial" w:hAnsi="Arial" w:cs="Arial" w:eastAsia="Arial"/>
          <w:b/>
          <w:color w:val="464648"/>
          <w:sz w:val="14"/>
        </w:rPr>
        <w:t xml:space="preserve">À partir de:</w:t>
        <w:tab/>
      </w:r>
      <w:r>
        <w:rPr>
          <w:rStyle w:val="CharStyle19"/>
          <w:rFonts w:ascii="Arial" w:hAnsi="Arial" w:cs="Arial" w:eastAsia="Arial"/>
          <w:color w:val="656361"/>
          <w:sz w:val="12"/>
          <w:u w:val="single"/>
        </w:rPr>
        <w:t xml:space="preserve">Kausch et Gerald 7</w:t>
      </w:r>
    </w:p>
    <w:p>
      <w:pPr>
        <w:pStyle w:val="Style18"/>
        <w:keepNext w:val="0"/>
        <w:keepLines w:val="0"/>
        <w:widowControl w:val="0"/>
        <w:shd w:val="clear" w:color="auto" w:fill="auto"/>
        <w:tabs>
          <w:tab w:pos="1500" w:val="left"/>
        </w:tabs>
        <w:spacing w:before="0" w:after="0" w:line="240" w:lineRule="auto"/>
        <w:ind w:left="0" w:right="0" w:firstLine="160"/>
        <w:jc w:val="left"/>
        <w:rPr>
          <w:sz w:val="12"/>
        </w:rPr>
      </w:pPr>
      <w:r>
        <w:rPr>
          <w:rStyle w:val="CharStyle19"/>
          <w:rFonts w:ascii="Arial" w:hAnsi="Arial" w:cs="Arial" w:eastAsia="Arial"/>
          <w:b/>
          <w:color w:val="464648"/>
          <w:sz w:val="14"/>
        </w:rPr>
        <w:t xml:space="preserve">À l'attention de:</w:t>
        <w:tab/>
      </w:r>
      <w:r>
        <w:rPr>
          <w:rStyle w:val="CharStyle19"/>
          <w:rFonts w:ascii="Arial" w:hAnsi="Arial" w:cs="Arial" w:eastAsia="Arial"/>
          <w:color w:val="656361"/>
          <w:sz w:val="12"/>
          <w:u w:val="single"/>
        </w:rPr>
        <w:t xml:space="preserve">Peter Daszak (acteur)</w:t>
      </w:r>
    </w:p>
    <w:p>
      <w:pPr>
        <w:pStyle w:val="Style18"/>
        <w:keepNext w:val="0"/>
        <w:keepLines w:val="0"/>
        <w:widowControl w:val="0"/>
        <w:shd w:val="clear" w:color="auto" w:fill="auto"/>
        <w:tabs>
          <w:tab w:pos="1500" w:val="left"/>
        </w:tabs>
        <w:spacing w:before="0" w:after="0" w:line="240" w:lineRule="auto"/>
        <w:ind w:left="0" w:right="0" w:firstLine="160"/>
        <w:jc w:val="left"/>
        <w:rPr>
          <w:sz w:val="12"/>
        </w:rPr>
      </w:pPr>
      <w:r>
        <w:rPr>
          <w:rStyle w:val="CharStyle19"/>
          <w:color w:val="464648"/>
          <w:sz w:val="15"/>
        </w:rPr>
        <w:t xml:space="preserve">Cc :</w:t>
        <w:tab/>
      </w:r>
      <w:r>
        <w:rPr>
          <w:rStyle w:val="CharStyle19"/>
          <w:rFonts w:ascii="Arial" w:hAnsi="Arial" w:cs="Arial" w:eastAsia="Arial"/>
          <w:color w:val="656361"/>
          <w:sz w:val="12"/>
          <w:u w:val="single"/>
        </w:rPr>
        <w:t xml:space="preserve">Ataksoi Chmura (homonymie)</w:t>
      </w:r>
    </w:p>
    <w:p>
      <w:pPr>
        <w:pStyle w:val="Style57"/>
        <w:keepNext w:val="0"/>
        <w:keepLines w:val="0"/>
        <w:widowControl w:val="0"/>
        <w:shd w:val="clear" w:color="auto" w:fill="auto"/>
        <w:tabs>
          <w:tab w:pos="1500" w:val="left"/>
        </w:tabs>
        <w:spacing w:before="0" w:after="0" w:line="240" w:lineRule="auto"/>
        <w:ind w:left="0" w:right="0" w:firstLine="160"/>
        <w:jc w:val="left"/>
      </w:pPr>
      <w:r>
        <w:rPr>
          <w:rStyle w:val="CharStyle58"/>
          <w:b/>
          <w:color w:val="464648"/>
        </w:rPr>
        <w:t>Objet:</w:t>
        <w:tab/>
      </w:r>
      <w:r>
        <w:rPr>
          <w:rStyle w:val="CharStyle58"/>
          <w:color w:val="656361"/>
        </w:rPr>
        <w:t xml:space="preserve">RE : Projet de réponse à Michael Lauer - s'il vous plaît examiner</w:t>
      </w:r>
    </w:p>
    <w:p>
      <w:pPr>
        <w:pStyle w:val="Style18"/>
        <w:keepNext w:val="0"/>
        <w:keepLines w:val="0"/>
        <w:widowControl w:val="0"/>
        <w:pBdr>
          <w:bottom w:val="single" w:sz="4" w:space="0" w:color="auto"/>
        </w:pBdr>
        <w:shd w:val="clear" w:color="auto" w:fill="auto"/>
        <w:tabs>
          <w:tab w:pos="1500" w:val="left"/>
        </w:tabs>
        <w:spacing w:before="0" w:after="340" w:line="240" w:lineRule="auto"/>
        <w:ind w:left="0" w:right="0" w:firstLine="160"/>
        <w:jc w:val="left"/>
        <w:rPr>
          <w:sz w:val="15"/>
        </w:rPr>
      </w:pPr>
      <w:r>
        <w:rPr>
          <w:rStyle w:val="CharStyle19"/>
          <w:color w:val="464648"/>
          <w:sz w:val="15"/>
        </w:rPr>
        <w:t xml:space="preserve">Date :</w:t>
        <w:tab/>
      </w:r>
      <w:r>
        <w:rPr>
          <w:rStyle w:val="CharStyle19"/>
          <w:rFonts w:ascii="Arial" w:hAnsi="Arial" w:cs="Arial" w:eastAsia="Arial"/>
          <w:color w:val="656361"/>
          <w:sz w:val="14"/>
        </w:rPr>
        <w:t xml:space="preserve">Lundi </w:t>
      </w:r>
      <w:r>
        <w:rPr>
          <w:rStyle w:val="CharStyle19"/>
          <w:color w:val="656361"/>
          <w:sz w:val="15"/>
        </w:rPr>
        <w:t xml:space="preserve">25 octobre 2021 16:25:31</w:t>
      </w:r>
    </w:p>
    <w:p>
      <w:pPr>
        <w:pStyle w:val="Style18"/>
        <w:keepNext w:val="0"/>
        <w:keepLines w:val="0"/>
        <w:widowControl w:val="0"/>
        <w:shd w:val="clear" w:color="auto" w:fill="auto"/>
        <w:spacing w:before="0" w:after="340" w:line="331" w:lineRule="auto"/>
        <w:ind w:left="160" w:right="0" w:firstLine="0"/>
        <w:jc w:val="left"/>
      </w:pPr>
      <w:r>
        <w:rPr>
          <w:rStyle w:val="CharStyle19"/>
          <w:rFonts w:ascii="Arial" w:hAnsi="Arial" w:cs="Arial" w:eastAsia="Arial"/>
          <w:color w:val="464648"/>
        </w:rPr>
        <w:t xml:space="preserve">Je </w:t>
      </w:r>
      <w:r>
        <w:rPr>
          <w:rStyle w:val="CharStyle19"/>
          <w:rFonts w:ascii="Arial" w:hAnsi="Arial" w:cs="Arial" w:eastAsia="Arial"/>
          <w:color w:val="656361"/>
        </w:rPr>
        <w:t xml:space="preserve">viens de passer du temps </w:t>
      </w:r>
      <w:r>
        <w:rPr>
          <w:rStyle w:val="CharStyle19"/>
          <w:rFonts w:ascii="Arial" w:hAnsi="Arial" w:cs="Arial" w:eastAsia="Arial"/>
          <w:color w:val="464648"/>
        </w:rPr>
        <w:t xml:space="preserve">au </w:t>
      </w:r>
      <w:r>
        <w:rPr>
          <w:rStyle w:val="CharStyle19"/>
          <w:rFonts w:ascii="Arial" w:hAnsi="Arial" w:cs="Arial" w:eastAsia="Arial"/>
          <w:color w:val="656361"/>
        </w:rPr>
        <w:t xml:space="preserve">téléphone </w:t>
      </w:r>
      <w:r>
        <w:rPr>
          <w:rStyle w:val="CharStyle19"/>
          <w:rFonts w:ascii="Arial" w:hAnsi="Arial" w:cs="Arial" w:eastAsia="Arial"/>
          <w:color w:val="464648"/>
        </w:rPr>
        <w:t xml:space="preserve">avec David. Il </w:t>
      </w:r>
      <w:r>
        <w:rPr>
          <w:rStyle w:val="CharStyle19"/>
          <w:rFonts w:ascii="Arial" w:hAnsi="Arial" w:cs="Arial" w:eastAsia="Arial"/>
          <w:color w:val="656361"/>
        </w:rPr>
        <w:t xml:space="preserve">est préoccupé par </w:t>
      </w:r>
      <w:r>
        <w:rPr>
          <w:rStyle w:val="CharStyle19"/>
          <w:rFonts w:ascii="Arial" w:hAnsi="Arial" w:cs="Arial" w:eastAsia="Arial"/>
          <w:color w:val="464648"/>
        </w:rPr>
        <w:t xml:space="preserve">la </w:t>
      </w:r>
      <w:r>
        <w:rPr>
          <w:rStyle w:val="CharStyle19"/>
          <w:rFonts w:ascii="Arial" w:hAnsi="Arial" w:cs="Arial" w:eastAsia="Arial"/>
          <w:color w:val="656361"/>
        </w:rPr>
        <w:t xml:space="preserve">confidentialité des </w:t>
      </w:r>
      <w:r>
        <w:rPr>
          <w:rStyle w:val="CharStyle19"/>
          <w:rFonts w:ascii="Arial" w:hAnsi="Arial" w:cs="Arial" w:eastAsia="Arial"/>
          <w:color w:val="464648"/>
        </w:rPr>
        <w:t xml:space="preserve">messages texte et </w:t>
      </w:r>
      <w:r>
        <w:rPr>
          <w:rStyle w:val="CharStyle19"/>
          <w:rFonts w:ascii="Arial" w:hAnsi="Arial" w:cs="Arial" w:eastAsia="Arial"/>
          <w:color w:val="656361"/>
        </w:rPr>
        <w:t xml:space="preserve">autres de son téléphone cellulaire </w:t>
      </w:r>
      <w:r>
        <w:rPr>
          <w:rStyle w:val="CharStyle19"/>
          <w:rFonts w:ascii="Arial" w:hAnsi="Arial" w:cs="Arial" w:eastAsia="Arial"/>
          <w:color w:val="464648"/>
        </w:rPr>
        <w:t xml:space="preserve">à vous </w:t>
      </w:r>
      <w:r>
        <w:rPr>
          <w:rStyle w:val="CharStyle19"/>
          <w:rFonts w:ascii="Arial" w:hAnsi="Arial" w:cs="Arial" w:eastAsia="Arial"/>
          <w:color w:val="656361"/>
        </w:rPr>
        <w:t xml:space="preserve">et moi parce qu'il a utilisé </w:t>
      </w:r>
      <w:r>
        <w:rPr>
          <w:rStyle w:val="CharStyle19"/>
          <w:rFonts w:ascii="Arial" w:hAnsi="Arial" w:cs="Arial" w:eastAsia="Arial"/>
          <w:color w:val="464648"/>
        </w:rPr>
        <w:t xml:space="preserve">un téléphone </w:t>
      </w:r>
      <w:r>
        <w:rPr>
          <w:rStyle w:val="CharStyle19"/>
          <w:rFonts w:ascii="Arial" w:hAnsi="Arial" w:cs="Arial" w:eastAsia="Arial"/>
          <w:color w:val="656361"/>
        </w:rPr>
        <w:t xml:space="preserve">du gouvernement qui permet des conversations personnelles ainsi. </w:t>
      </w:r>
      <w:r>
        <w:rPr>
          <w:rStyle w:val="CharStyle19"/>
          <w:rFonts w:ascii="Arial" w:hAnsi="Arial" w:cs="Arial" w:eastAsia="Arial"/>
          <w:color w:val="464648"/>
        </w:rPr>
        <w:t xml:space="preserve">Donc, même </w:t>
      </w:r>
      <w:r>
        <w:rPr>
          <w:rStyle w:val="CharStyle19"/>
          <w:rFonts w:ascii="Arial" w:hAnsi="Arial" w:cs="Arial" w:eastAsia="Arial"/>
          <w:color w:val="656361"/>
        </w:rPr>
        <w:t xml:space="preserve">les choses via gmail envoyées et reçues sur son </w:t>
      </w:r>
      <w:r>
        <w:rPr>
          <w:rStyle w:val="CharStyle19"/>
          <w:rFonts w:ascii="Arial" w:hAnsi="Arial" w:cs="Arial" w:eastAsia="Arial"/>
          <w:color w:val="464648"/>
        </w:rPr>
        <w:t xml:space="preserve"> </w:t>
      </w:r>
      <w:r>
        <w:rPr>
          <w:rStyle w:val="CharStyle19"/>
          <w:rFonts w:ascii="Arial" w:hAnsi="Arial" w:cs="Arial" w:eastAsia="Arial"/>
          <w:color w:val="656361"/>
        </w:rPr>
        <w:t xml:space="preserve">téléphone portable pourraient </w:t>
      </w:r>
      <w:r>
        <w:rPr>
          <w:rStyle w:val="CharStyle19"/>
          <w:rFonts w:ascii="Arial" w:hAnsi="Arial" w:cs="Arial" w:eastAsia="Arial"/>
          <w:color w:val="464648"/>
        </w:rPr>
        <w:t xml:space="preserve">être </w:t>
      </w:r>
      <w:r>
        <w:rPr>
          <w:rStyle w:val="CharStyle19"/>
          <w:rFonts w:ascii="Arial" w:hAnsi="Arial" w:cs="Arial" w:eastAsia="Arial"/>
          <w:color w:val="656361"/>
        </w:rPr>
        <w:t xml:space="preserve">FOIA'able. Cela vient </w:t>
      </w:r>
      <w:r>
        <w:rPr>
          <w:rStyle w:val="CharStyle19"/>
          <w:rFonts w:ascii="Arial" w:hAnsi="Arial" w:cs="Arial" w:eastAsia="Arial"/>
          <w:color w:val="464648"/>
        </w:rPr>
        <w:t xml:space="preserve">de </w:t>
      </w:r>
      <w:r>
        <w:rPr>
          <w:rStyle w:val="CharStyle19"/>
          <w:rFonts w:ascii="Arial" w:hAnsi="Arial" w:cs="Arial" w:eastAsia="Arial"/>
          <w:color w:val="656361"/>
        </w:rPr>
        <w:t xml:space="preserve">Tony dans leur conversation de ce matin.</w:t>
      </w:r>
    </w:p>
    <w:p>
      <w:pPr>
        <w:pStyle w:val="Style18"/>
        <w:keepNext w:val="0"/>
        <w:keepLines w:val="0"/>
        <w:widowControl w:val="0"/>
        <w:shd w:val="clear" w:color="auto" w:fill="auto"/>
        <w:spacing w:before="0" w:after="340" w:line="331" w:lineRule="auto"/>
        <w:ind w:left="160" w:right="0" w:firstLine="0"/>
        <w:jc w:val="left"/>
      </w:pPr>
      <w:r>
        <w:rPr>
          <w:rStyle w:val="CharStyle19"/>
          <w:rFonts w:ascii="Arial" w:hAnsi="Arial" w:cs="Arial" w:eastAsia="Arial"/>
          <w:color w:val="464648"/>
        </w:rPr>
        <w:t xml:space="preserve">David a </w:t>
      </w:r>
      <w:r>
        <w:rPr>
          <w:rStyle w:val="CharStyle19"/>
          <w:rFonts w:ascii="Arial" w:hAnsi="Arial" w:cs="Arial" w:eastAsia="Arial"/>
          <w:color w:val="656361"/>
        </w:rPr>
        <w:t xml:space="preserve">plusieurs choses en cours cette </w:t>
      </w:r>
      <w:r>
        <w:rPr>
          <w:rStyle w:val="CharStyle19"/>
          <w:rFonts w:ascii="Arial" w:hAnsi="Arial" w:cs="Arial" w:eastAsia="Arial"/>
          <w:color w:val="464648"/>
        </w:rPr>
        <w:t xml:space="preserve">semaine, </w:t>
      </w:r>
      <w:r>
        <w:rPr>
          <w:rStyle w:val="CharStyle19"/>
          <w:rFonts w:ascii="Arial" w:hAnsi="Arial" w:cs="Arial" w:eastAsia="Arial"/>
          <w:color w:val="656361"/>
        </w:rPr>
        <w:t xml:space="preserve">y compris </w:t>
      </w:r>
      <w:r>
        <w:rPr>
          <w:rStyle w:val="CharStyle19"/>
          <w:rFonts w:ascii="Arial" w:hAnsi="Arial" w:cs="Arial" w:eastAsia="Arial"/>
          <w:color w:val="464648"/>
        </w:rPr>
        <w:t xml:space="preserve"> </w:t>
      </w:r>
      <w:r>
        <w:rPr>
          <w:rStyle w:val="CharStyle19"/>
          <w:rFonts w:ascii="Arial" w:hAnsi="Arial" w:cs="Arial" w:eastAsia="Arial"/>
          <w:color w:val="656361"/>
        </w:rPr>
        <w:t xml:space="preserve">les rendez-vous médicaux, </w:t>
      </w:r>
      <w:r>
        <w:rPr>
          <w:rStyle w:val="CharStyle19"/>
          <w:rFonts w:ascii="Arial" w:hAnsi="Arial" w:cs="Arial" w:eastAsia="Arial"/>
          <w:color w:val="656361"/>
        </w:rPr>
        <w:t xml:space="preserve">la fermeture </w:t>
      </w:r>
      <w:r>
        <w:rPr>
          <w:rStyle w:val="CharStyle19"/>
          <w:rFonts w:ascii="Arial" w:hAnsi="Arial" w:cs="Arial" w:eastAsia="Arial"/>
          <w:color w:val="656361"/>
        </w:rPr>
        <w:t xml:space="preserve">de la maison et la nécessité </w:t>
      </w:r>
      <w:r>
        <w:rPr>
          <w:rStyle w:val="CharStyle19"/>
          <w:rFonts w:ascii="Arial" w:hAnsi="Arial" w:cs="Arial" w:eastAsia="Arial"/>
          <w:color w:val="464648"/>
        </w:rPr>
        <w:t xml:space="preserve">de </w:t>
      </w:r>
      <w:r>
        <w:rPr>
          <w:rStyle w:val="CharStyle19"/>
          <w:rFonts w:ascii="Arial" w:hAnsi="Arial" w:cs="Arial" w:eastAsia="Arial"/>
          <w:color w:val="656361"/>
        </w:rPr>
        <w:t xml:space="preserve">se </w:t>
      </w:r>
      <w:r>
        <w:rPr>
          <w:rStyle w:val="CharStyle19"/>
          <w:rFonts w:ascii="Arial" w:hAnsi="Arial" w:cs="Arial" w:eastAsia="Arial"/>
          <w:color w:val="464648"/>
        </w:rPr>
        <w:t xml:space="preserve">procurer un téléphone intelligent personnel, et </w:t>
      </w:r>
      <w:r>
        <w:rPr>
          <w:rStyle w:val="CharStyle19"/>
          <w:rFonts w:ascii="Arial" w:hAnsi="Arial" w:cs="Arial" w:eastAsia="Arial"/>
          <w:color w:val="656361"/>
        </w:rPr>
        <w:t xml:space="preserve">Tony </w:t>
      </w:r>
      <w:r>
        <w:rPr>
          <w:rStyle w:val="CharStyle19"/>
          <w:rFonts w:ascii="Arial" w:hAnsi="Arial" w:cs="Arial" w:eastAsia="Arial"/>
          <w:color w:val="464648"/>
        </w:rPr>
        <w:t xml:space="preserve"> </w:t>
      </w:r>
      <w:r>
        <w:rPr>
          <w:rStyle w:val="CharStyle19"/>
          <w:rFonts w:ascii="Arial" w:hAnsi="Arial" w:cs="Arial" w:eastAsia="Arial"/>
          <w:color w:val="656361"/>
        </w:rPr>
        <w:t xml:space="preserve">lui a dit de ne pas </w:t>
      </w:r>
      <w:r>
        <w:rPr>
          <w:rStyle w:val="CharStyle19"/>
          <w:rFonts w:ascii="Arial" w:hAnsi="Arial" w:cs="Arial" w:eastAsia="Arial"/>
          <w:color w:val="464648"/>
        </w:rPr>
        <w:t xml:space="preserve">être en contact avec vous et EHA </w:t>
      </w:r>
      <w:r>
        <w:rPr>
          <w:rStyle w:val="CharStyle19"/>
          <w:rFonts w:ascii="Arial" w:hAnsi="Arial" w:cs="Arial" w:eastAsia="Arial"/>
          <w:color w:val="656361"/>
        </w:rPr>
        <w:t xml:space="preserve">pour le moment. </w:t>
      </w:r>
      <w:r>
        <w:rPr>
          <w:rStyle w:val="CharStyle19"/>
          <w:rFonts w:ascii="Arial" w:hAnsi="Arial" w:cs="Arial" w:eastAsia="Arial"/>
          <w:color w:val="464648"/>
        </w:rPr>
        <w:t xml:space="preserve">Il restera </w:t>
      </w:r>
      <w:r>
        <w:rPr>
          <w:rStyle w:val="CharStyle19"/>
          <w:rFonts w:ascii="Arial" w:hAnsi="Arial" w:cs="Arial" w:eastAsia="Arial"/>
          <w:color w:val="656361"/>
        </w:rPr>
        <w:t xml:space="preserve">connecté </w:t>
      </w:r>
      <w:r>
        <w:rPr>
          <w:rStyle w:val="CharStyle19"/>
          <w:rFonts w:ascii="Arial" w:hAnsi="Arial" w:cs="Arial" w:eastAsia="Arial"/>
          <w:color w:val="464648"/>
        </w:rPr>
        <w:t xml:space="preserve">à moi et par </w:t>
      </w:r>
      <w:r>
        <w:rPr>
          <w:rStyle w:val="CharStyle19"/>
          <w:rFonts w:ascii="Arial" w:hAnsi="Arial" w:cs="Arial" w:eastAsia="Arial"/>
          <w:color w:val="656361"/>
        </w:rPr>
        <w:t xml:space="preserve">moi à vous. Il voulait </w:t>
      </w:r>
      <w:r>
        <w:rPr>
          <w:rStyle w:val="CharStyle19"/>
          <w:rFonts w:ascii="Arial" w:hAnsi="Arial" w:cs="Arial" w:eastAsia="Arial"/>
          <w:color w:val="464648"/>
        </w:rPr>
        <w:t xml:space="preserve"> </w:t>
      </w:r>
      <w:r>
        <w:rPr>
          <w:rStyle w:val="CharStyle19"/>
          <w:rFonts w:ascii="Arial" w:hAnsi="Arial" w:cs="Arial" w:eastAsia="Arial"/>
          <w:color w:val="656361"/>
        </w:rPr>
        <w:t xml:space="preserve">réitérer un certain nombre </w:t>
      </w:r>
      <w:r>
        <w:rPr>
          <w:rStyle w:val="CharStyle19"/>
          <w:rFonts w:ascii="Arial" w:hAnsi="Arial" w:cs="Arial" w:eastAsia="Arial"/>
          <w:color w:val="464648"/>
        </w:rPr>
        <w:t xml:space="preserve">de </w:t>
      </w:r>
      <w:r>
        <w:rPr>
          <w:rStyle w:val="CharStyle19"/>
          <w:rFonts w:ascii="Arial" w:hAnsi="Arial" w:cs="Arial" w:eastAsia="Arial"/>
          <w:color w:val="656361"/>
        </w:rPr>
        <w:t xml:space="preserve">choses. Tout d'abord, sur le calendrier </w:t>
      </w:r>
      <w:r>
        <w:rPr>
          <w:rStyle w:val="CharStyle19"/>
          <w:rFonts w:ascii="Arial" w:hAnsi="Arial" w:cs="Arial" w:eastAsia="Arial"/>
          <w:color w:val="464648"/>
        </w:rPr>
        <w:t xml:space="preserve">pour </w:t>
      </w:r>
      <w:r>
        <w:rPr>
          <w:rStyle w:val="CharStyle19"/>
          <w:rFonts w:ascii="Arial" w:hAnsi="Arial" w:cs="Arial" w:eastAsia="Arial"/>
          <w:color w:val="656361"/>
        </w:rPr>
        <w:t xml:space="preserve">le rendre plus précis </w:t>
      </w:r>
      <w:r>
        <w:rPr>
          <w:rStyle w:val="CharStyle19"/>
          <w:rFonts w:ascii="Arial" w:hAnsi="Arial" w:cs="Arial" w:eastAsia="Arial"/>
          <w:color w:val="464648"/>
        </w:rPr>
        <w:t xml:space="preserve">avec </w:t>
      </w:r>
      <w:r>
        <w:rPr>
          <w:rStyle w:val="CharStyle19"/>
          <w:rFonts w:ascii="Arial" w:hAnsi="Arial" w:cs="Arial" w:eastAsia="Arial"/>
          <w:color w:val="656361"/>
        </w:rPr>
        <w:t xml:space="preserve">des dates </w:t>
      </w:r>
      <w:r>
        <w:rPr>
          <w:rStyle w:val="CharStyle19"/>
          <w:rFonts w:ascii="Arial" w:hAnsi="Arial" w:cs="Arial" w:eastAsia="Arial"/>
          <w:color w:val="464648"/>
        </w:rPr>
        <w:t xml:space="preserve">et </w:t>
      </w:r>
      <w:r>
        <w:rPr>
          <w:rStyle w:val="CharStyle19"/>
          <w:rFonts w:ascii="Arial" w:hAnsi="Arial" w:cs="Arial" w:eastAsia="Arial"/>
          <w:color w:val="656361"/>
        </w:rPr>
        <w:t xml:space="preserve">des détails. Entrer en contact avec Stemmy </w:t>
      </w:r>
      <w:r>
        <w:rPr>
          <w:rStyle w:val="CharStyle19"/>
          <w:rFonts w:ascii="Arial" w:hAnsi="Arial" w:cs="Arial" w:eastAsia="Arial"/>
          <w:color w:val="464648"/>
        </w:rPr>
        <w:t xml:space="preserve">est </w:t>
      </w:r>
      <w:r>
        <w:rPr>
          <w:rStyle w:val="CharStyle19"/>
          <w:rFonts w:ascii="Arial" w:hAnsi="Arial" w:cs="Arial" w:eastAsia="Arial"/>
          <w:color w:val="656361"/>
        </w:rPr>
        <w:t xml:space="preserve">vraiment important et être sûr qu'il est bien informé, </w:t>
      </w:r>
      <w:r>
        <w:rPr>
          <w:rStyle w:val="CharStyle19"/>
          <w:rFonts w:ascii="Arial" w:hAnsi="Arial" w:cs="Arial" w:eastAsia="Arial"/>
          <w:color w:val="464648"/>
        </w:rPr>
        <w:t xml:space="preserve">reconnaît le </w:t>
      </w:r>
      <w:r>
        <w:rPr>
          <w:rStyle w:val="CharStyle19"/>
          <w:rFonts w:ascii="Arial" w:hAnsi="Arial" w:cs="Arial" w:eastAsia="Arial"/>
          <w:color w:val="656361"/>
        </w:rPr>
        <w:t xml:space="preserve">calendrier </w:t>
      </w:r>
      <w:r>
        <w:rPr>
          <w:rStyle w:val="CharStyle19"/>
          <w:rFonts w:ascii="Arial" w:hAnsi="Arial" w:cs="Arial" w:eastAsia="Arial"/>
          <w:color w:val="464648"/>
        </w:rPr>
        <w:t xml:space="preserve">et </w:t>
      </w:r>
      <w:r>
        <w:rPr>
          <w:rStyle w:val="CharStyle19"/>
          <w:rFonts w:ascii="Arial" w:hAnsi="Arial" w:cs="Arial" w:eastAsia="Arial"/>
          <w:color w:val="656361"/>
        </w:rPr>
        <w:t xml:space="preserve">les communications </w:t>
      </w:r>
      <w:r>
        <w:rPr>
          <w:rStyle w:val="CharStyle19"/>
          <w:rFonts w:ascii="Arial" w:hAnsi="Arial" w:cs="Arial" w:eastAsia="Arial"/>
          <w:color w:val="464648"/>
        </w:rPr>
        <w:t xml:space="preserve">que vous </w:t>
      </w:r>
      <w:r>
        <w:rPr>
          <w:rStyle w:val="CharStyle19"/>
          <w:rFonts w:ascii="Arial" w:hAnsi="Arial" w:cs="Arial" w:eastAsia="Arial"/>
          <w:color w:val="656361"/>
        </w:rPr>
        <w:t xml:space="preserve">mentionnez, </w:t>
      </w:r>
      <w:r>
        <w:rPr>
          <w:rStyle w:val="CharStyle19"/>
          <w:rFonts w:ascii="Arial" w:hAnsi="Arial" w:cs="Arial" w:eastAsia="Arial"/>
          <w:color w:val="464648"/>
        </w:rPr>
        <w:t xml:space="preserve">et est à bord parce qu'il </w:t>
      </w:r>
      <w:r>
        <w:rPr>
          <w:rStyle w:val="CharStyle19"/>
          <w:rFonts w:ascii="Arial" w:hAnsi="Arial" w:cs="Arial" w:eastAsia="Arial"/>
          <w:color w:val="656361"/>
        </w:rPr>
        <w:t xml:space="preserve">sera certainement interrogé. </w:t>
      </w:r>
      <w:r>
        <w:rPr>
          <w:rStyle w:val="CharStyle19"/>
          <w:rFonts w:ascii="Arial" w:hAnsi="Arial" w:cs="Arial" w:eastAsia="Arial"/>
          <w:color w:val="464648"/>
        </w:rPr>
        <w:t xml:space="preserve"> Il a également </w:t>
      </w:r>
      <w:r>
        <w:rPr>
          <w:rStyle w:val="CharStyle19"/>
          <w:rFonts w:ascii="Arial" w:hAnsi="Arial" w:cs="Arial" w:eastAsia="Arial"/>
          <w:color w:val="656361"/>
        </w:rPr>
        <w:t xml:space="preserve">suggéré que </w:t>
      </w:r>
      <w:r>
        <w:rPr>
          <w:rStyle w:val="CharStyle19"/>
          <w:rFonts w:ascii="Arial" w:hAnsi="Arial" w:cs="Arial" w:eastAsia="Arial"/>
          <w:color w:val="464648"/>
        </w:rPr>
        <w:t xml:space="preserve">vous </w:t>
      </w:r>
      <w:r>
        <w:rPr>
          <w:rStyle w:val="CharStyle19"/>
          <w:rFonts w:ascii="Arial" w:hAnsi="Arial" w:cs="Arial" w:eastAsia="Arial"/>
          <w:color w:val="656361"/>
        </w:rPr>
        <w:t xml:space="preserve">discutiez avec lui </w:t>
      </w:r>
      <w:r>
        <w:rPr>
          <w:rStyle w:val="CharStyle19"/>
          <w:rFonts w:ascii="Arial" w:hAnsi="Arial" w:cs="Arial" w:eastAsia="Arial"/>
          <w:color w:val="464648"/>
        </w:rPr>
        <w:t xml:space="preserve">de la nécessité pour les NIH de vérifier </w:t>
      </w:r>
      <w:r>
        <w:rPr>
          <w:rStyle w:val="CharStyle19"/>
          <w:rFonts w:ascii="Arial" w:hAnsi="Arial" w:cs="Arial" w:eastAsia="Arial"/>
          <w:color w:val="656361"/>
        </w:rPr>
        <w:t xml:space="preserve">les dossiers et </w:t>
      </w:r>
      <w:r>
        <w:rPr>
          <w:rStyle w:val="CharStyle19"/>
          <w:rFonts w:ascii="Arial" w:hAnsi="Arial" w:cs="Arial" w:eastAsia="Arial"/>
          <w:color w:val="464648"/>
        </w:rPr>
        <w:t xml:space="preserve">de </w:t>
      </w:r>
      <w:r>
        <w:rPr>
          <w:rStyle w:val="CharStyle19"/>
          <w:rFonts w:ascii="Arial" w:hAnsi="Arial" w:cs="Arial" w:eastAsia="Arial"/>
          <w:color w:val="656361"/>
        </w:rPr>
        <w:t xml:space="preserve">confirmer </w:t>
      </w:r>
      <w:r>
        <w:rPr>
          <w:rStyle w:val="CharStyle19"/>
          <w:rFonts w:ascii="Arial" w:hAnsi="Arial" w:cs="Arial" w:eastAsia="Arial"/>
          <w:color w:val="464648"/>
        </w:rPr>
        <w:t xml:space="preserve">quand </w:t>
      </w:r>
      <w:r>
        <w:rPr>
          <w:rStyle w:val="CharStyle19"/>
          <w:rFonts w:ascii="Arial" w:hAnsi="Arial" w:cs="Arial" w:eastAsia="Arial"/>
          <w:color w:val="656361"/>
        </w:rPr>
        <w:t xml:space="preserve">les documents </w:t>
      </w:r>
      <w:r>
        <w:rPr>
          <w:rStyle w:val="CharStyle19"/>
          <w:rFonts w:ascii="Arial" w:hAnsi="Arial" w:cs="Arial" w:eastAsia="Arial"/>
          <w:color w:val="464648"/>
        </w:rPr>
        <w:t xml:space="preserve">ont été </w:t>
      </w:r>
      <w:r>
        <w:rPr>
          <w:rStyle w:val="CharStyle19"/>
          <w:rFonts w:ascii="Arial" w:hAnsi="Arial" w:cs="Arial" w:eastAsia="Arial"/>
          <w:color w:val="656361"/>
        </w:rPr>
        <w:t xml:space="preserve">déposés et reconnus. Et que lorsque </w:t>
      </w:r>
      <w:r>
        <w:rPr>
          <w:rStyle w:val="CharStyle19"/>
          <w:rFonts w:ascii="Arial" w:hAnsi="Arial" w:cs="Arial" w:eastAsia="Arial"/>
          <w:color w:val="464648"/>
        </w:rPr>
        <w:t xml:space="preserve">vous </w:t>
      </w:r>
      <w:r>
        <w:rPr>
          <w:rStyle w:val="CharStyle19"/>
          <w:rFonts w:ascii="Arial" w:hAnsi="Arial" w:cs="Arial" w:eastAsia="Arial"/>
          <w:color w:val="656361"/>
        </w:rPr>
        <w:t xml:space="preserve">saviez </w:t>
      </w:r>
      <w:r>
        <w:rPr>
          <w:rStyle w:val="CharStyle19"/>
          <w:rFonts w:ascii="Arial" w:hAnsi="Arial" w:cs="Arial" w:eastAsia="Arial"/>
          <w:color w:val="464648"/>
        </w:rPr>
        <w:t xml:space="preserve"> </w:t>
      </w:r>
      <w:r>
        <w:rPr>
          <w:rStyle w:val="CharStyle19"/>
          <w:rFonts w:ascii="Arial" w:hAnsi="Arial" w:cs="Arial" w:eastAsia="Arial"/>
          <w:color w:val="656361"/>
        </w:rPr>
        <w:t xml:space="preserve">qu'il </w:t>
      </w:r>
      <w:r>
        <w:rPr>
          <w:rStyle w:val="CharStyle19"/>
          <w:rFonts w:ascii="Arial" w:hAnsi="Arial" w:cs="Arial" w:eastAsia="Arial"/>
          <w:color w:val="464648"/>
        </w:rPr>
        <w:t xml:space="preserve">était nécessaire de </w:t>
      </w:r>
      <w:r>
        <w:rPr>
          <w:rStyle w:val="CharStyle19"/>
          <w:rFonts w:ascii="Arial" w:hAnsi="Arial" w:cs="Arial" w:eastAsia="Arial"/>
          <w:color w:val="656361"/>
        </w:rPr>
        <w:t xml:space="preserve">produire </w:t>
      </w:r>
      <w:r>
        <w:rPr>
          <w:rStyle w:val="CharStyle19"/>
          <w:rFonts w:ascii="Arial" w:hAnsi="Arial" w:cs="Arial" w:eastAsia="Arial"/>
          <w:color w:val="464648"/>
        </w:rPr>
        <w:t xml:space="preserve">le </w:t>
      </w:r>
      <w:r>
        <w:rPr>
          <w:rStyle w:val="CharStyle19"/>
          <w:rFonts w:ascii="Arial" w:hAnsi="Arial" w:cs="Arial" w:eastAsia="Arial"/>
          <w:color w:val="656361"/>
        </w:rPr>
        <w:t xml:space="preserve">rapport </w:t>
      </w:r>
      <w:r>
        <w:rPr>
          <w:rStyle w:val="CharStyle19"/>
          <w:rFonts w:ascii="Arial" w:hAnsi="Arial" w:cs="Arial" w:eastAsia="Arial"/>
          <w:color w:val="464648"/>
        </w:rPr>
        <w:t xml:space="preserve">quinquennal, </w:t>
      </w:r>
      <w:r>
        <w:rPr>
          <w:rStyle w:val="CharStyle19"/>
          <w:rFonts w:ascii="Arial" w:hAnsi="Arial" w:cs="Arial" w:eastAsia="Arial"/>
          <w:color w:val="656361"/>
        </w:rPr>
        <w:t xml:space="preserve">le système vous a exclu </w:t>
      </w:r>
      <w:r>
        <w:rPr>
          <w:rStyle w:val="CharStyle19"/>
          <w:rFonts w:ascii="Arial" w:hAnsi="Arial" w:cs="Arial" w:eastAsia="Arial"/>
          <w:color w:val="464648"/>
        </w:rPr>
        <w:t xml:space="preserve"> </w:t>
      </w:r>
      <w:r>
        <w:rPr>
          <w:rStyle w:val="CharStyle19"/>
          <w:rFonts w:ascii="Arial" w:hAnsi="Arial" w:cs="Arial" w:eastAsia="Arial"/>
          <w:color w:val="656361"/>
        </w:rPr>
        <w:t xml:space="preserve">et </w:t>
      </w:r>
      <w:r>
        <w:rPr>
          <w:rStyle w:val="CharStyle19"/>
          <w:rFonts w:ascii="Arial" w:hAnsi="Arial" w:cs="Arial" w:eastAsia="Arial"/>
          <w:color w:val="464648"/>
        </w:rPr>
        <w:t xml:space="preserve"> </w:t>
      </w:r>
      <w:r>
        <w:rPr>
          <w:rStyle w:val="CharStyle19"/>
          <w:rFonts w:ascii="Arial" w:hAnsi="Arial" w:cs="Arial" w:eastAsia="Arial"/>
          <w:color w:val="656361"/>
        </w:rPr>
        <w:t xml:space="preserve">vous avez </w:t>
      </w:r>
      <w:r>
        <w:rPr>
          <w:rStyle w:val="CharStyle19"/>
          <w:rFonts w:ascii="Arial" w:hAnsi="Arial" w:cs="Arial" w:eastAsia="Arial"/>
          <w:color w:val="464648"/>
        </w:rPr>
        <w:t xml:space="preserve">présumé que c'était </w:t>
      </w:r>
      <w:r>
        <w:rPr>
          <w:rStyle w:val="CharStyle19"/>
          <w:rFonts w:ascii="Arial" w:hAnsi="Arial" w:cs="Arial" w:eastAsia="Arial"/>
          <w:color w:val="656361"/>
        </w:rPr>
        <w:t xml:space="preserve">un processus normal, </w:t>
      </w:r>
      <w:r>
        <w:rPr>
          <w:rStyle w:val="CharStyle19"/>
          <w:rFonts w:ascii="Arial" w:hAnsi="Arial" w:cs="Arial" w:eastAsia="Arial"/>
          <w:color w:val="464648"/>
        </w:rPr>
        <w:t xml:space="preserve">car vous étiez </w:t>
      </w:r>
      <w:r>
        <w:rPr>
          <w:rStyle w:val="CharStyle19"/>
          <w:rFonts w:ascii="Arial" w:hAnsi="Arial" w:cs="Arial" w:eastAsia="Arial"/>
          <w:color w:val="656361"/>
        </w:rPr>
        <w:t xml:space="preserve">alors dans la </w:t>
      </w:r>
      <w:r>
        <w:rPr>
          <w:rStyle w:val="CharStyle19"/>
          <w:rFonts w:ascii="Arial" w:hAnsi="Arial" w:cs="Arial" w:eastAsia="Arial"/>
          <w:color w:val="464648"/>
        </w:rPr>
        <w:t xml:space="preserve">nouvelle année de </w:t>
      </w:r>
      <w:r>
        <w:rPr>
          <w:rStyle w:val="CharStyle19"/>
          <w:rFonts w:ascii="Arial" w:hAnsi="Arial" w:cs="Arial" w:eastAsia="Arial"/>
          <w:color w:val="656361"/>
        </w:rPr>
        <w:t xml:space="preserve">subvention </w:t>
      </w:r>
      <w:r>
        <w:rPr>
          <w:rStyle w:val="CharStyle19"/>
          <w:rFonts w:ascii="Arial" w:hAnsi="Arial" w:cs="Arial" w:eastAsia="Arial"/>
          <w:color w:val="464648"/>
        </w:rPr>
        <w:t>1.</w:t>
      </w:r>
    </w:p>
    <w:p>
      <w:pPr>
        <w:pStyle w:val="Style18"/>
        <w:keepNext w:val="0"/>
        <w:keepLines w:val="0"/>
        <w:widowControl w:val="0"/>
        <w:shd w:val="clear" w:color="auto" w:fill="auto"/>
        <w:spacing w:before="0" w:after="560" w:line="331" w:lineRule="auto"/>
        <w:ind w:left="0" w:right="0" w:firstLine="160"/>
        <w:jc w:val="left"/>
      </w:pPr>
      <w:r>
        <w:rPr>
          <w:rStyle w:val="CharStyle19"/>
          <w:rFonts w:ascii="Arial" w:hAnsi="Arial" w:cs="Arial" w:eastAsia="Arial"/>
          <w:color w:val="464648"/>
        </w:rPr>
        <w:t>Jerry</w:t>
      </w:r>
    </w:p>
    <w:p>
      <w:pPr>
        <w:pStyle w:val="Style24"/>
        <w:keepNext w:val="0"/>
        <w:keepLines w:val="0"/>
        <w:widowControl w:val="0"/>
        <w:shd w:val="clear" w:color="auto" w:fill="auto"/>
        <w:spacing w:before="0" w:after="180"/>
        <w:ind w:left="0" w:right="0" w:firstLine="740"/>
        <w:jc w:val="left"/>
      </w:pPr>
      <w:r>
        <w:rPr>
          <w:rStyle w:val="CharStyle25"/>
        </w:rPr>
        <w:t xml:space="preserve">Le Dr Morens n'a eu de cesse de contourner la FOIA. Le 18 novembre 2021, le Dr Morens a déclaré qu’il travaillait avec le personnel des technologies de l’information des NIH pour charger «un logiciel anti-piratage sur mon téléphone et a discuté de la situation avec moi».</w:t>
        <w:footnoteReference w:id="372"/>
        <w:t xml:space="preserve"> Le Dr Morens a conclu qu’en raison de ces actions, son «gmail est désormais à l’abri de la FOIA».</w:t>
        <w:footnoteReference w:id="373"/>
      </w:r>
    </w:p>
    <w:p>
      <w:pPr>
        <w:pStyle w:val="Style36"/>
        <w:keepNext w:val="0"/>
        <w:keepLines w:val="0"/>
        <w:widowControl w:val="0"/>
        <w:shd w:val="clear" w:color="auto" w:fill="auto"/>
        <w:tabs>
          <w:tab w:pos="938" w:val="left"/>
        </w:tabs>
        <w:spacing w:before="0" w:after="60" w:line="240" w:lineRule="auto"/>
        <w:ind w:left="0" w:right="0" w:firstLine="200"/>
        <w:jc w:val="left"/>
      </w:pPr>
      <w:r>
        <w:rPr>
          <w:rStyle w:val="CharStyle37"/>
          <w:rFonts w:ascii="Times New Roman" w:hAnsi="Times New Roman" w:cs="Times New Roman" w:eastAsia="Times New Roman"/>
          <w:color w:val="303030"/>
          <w:sz w:val="22"/>
        </w:rPr>
        <w:t xml:space="preserve">Date :</w:t>
        <w:tab/>
      </w:r>
      <w:r>
        <w:rPr>
          <w:rStyle w:val="CharStyle37"/>
          <w:color w:val="464648"/>
        </w:rPr>
        <w:t xml:space="preserve">Thu, 18 Nov 20215:06:31 PM -0500</w:t>
      </w:r>
    </w:p>
    <w:p>
      <w:pPr>
        <w:pStyle w:val="Style36"/>
        <w:keepNext w:val="0"/>
        <w:keepLines w:val="0"/>
        <w:widowControl w:val="0"/>
        <w:shd w:val="clear" w:color="auto" w:fill="auto"/>
        <w:spacing w:before="0" w:after="60" w:line="240" w:lineRule="auto"/>
        <w:ind w:left="0" w:right="0" w:firstLine="200"/>
        <w:jc w:val="left"/>
      </w:pPr>
      <w:r>
        <w:rPr>
          <w:rStyle w:val="CharStyle37"/>
          <w:color w:val="303030"/>
        </w:rPr>
        <w:t xml:space="preserve">Objet: </w:t>
      </w:r>
      <w:r>
        <w:rPr>
          <w:rStyle w:val="CharStyle37"/>
          <w:color w:val="464648"/>
        </w:rPr>
        <w:t xml:space="preserve">En ce qui concerne: Avis pour WaPo</w:t>
      </w:r>
    </w:p>
    <w:p>
      <w:pPr>
        <w:pStyle w:val="Style36"/>
        <w:keepNext w:val="0"/>
        <w:keepLines w:val="0"/>
        <w:widowControl w:val="0"/>
        <w:shd w:val="clear" w:color="auto" w:fill="auto"/>
        <w:tabs>
          <w:tab w:pos="938" w:val="left"/>
        </w:tabs>
        <w:spacing w:before="0" w:after="60" w:line="240" w:lineRule="auto"/>
        <w:ind w:left="0" w:right="0" w:firstLine="200"/>
        <w:jc w:val="left"/>
      </w:pPr>
      <w:r>
        <w:rPr>
          <w:rStyle w:val="CharStyle37"/>
          <w:color w:val="303030"/>
        </w:rPr>
        <w:t xml:space="preserve">À partir de:</w:t>
        <w:tab/>
        <w:t xml:space="preserve">David Morens</w:t>
      </w:r>
    </w:p>
    <w:p>
      <w:pPr>
        <w:pStyle w:val="Style36"/>
        <w:keepNext w:val="0"/>
        <w:keepLines w:val="0"/>
        <w:widowControl w:val="0"/>
        <w:pBdr>
          <w:bottom w:val="single" w:sz="4" w:space="0" w:color="auto"/>
        </w:pBdr>
        <w:shd w:val="clear" w:color="auto" w:fill="auto"/>
        <w:tabs>
          <w:tab w:pos="938" w:val="left"/>
        </w:tabs>
        <w:spacing w:before="0" w:after="140" w:line="240" w:lineRule="auto"/>
        <w:ind w:left="0" w:right="0" w:firstLine="200"/>
        <w:jc w:val="left"/>
        <w:rPr>
          <w:sz w:val="15"/>
        </w:rPr>
      </w:pPr>
      <w:r>
        <w:rPr>
          <w:rStyle w:val="CharStyle37"/>
          <w:color w:val="303030"/>
        </w:rPr>
        <w:t xml:space="preserve">À l'attention de:</w:t>
        <w:tab/>
      </w:r>
      <w:r>
        <w:rPr>
          <w:rStyle w:val="CharStyle37"/>
          <w:color w:val="303030"/>
          <w:sz w:val="15"/>
        </w:rPr>
        <w:t xml:space="preserve">Keusch Gerald (musicien)</w:t>
      </w:r>
    </w:p>
    <w:p>
      <w:pPr>
        <w:pStyle w:val="Style24"/>
        <w:keepNext w:val="0"/>
        <w:keepLines w:val="0"/>
        <w:widowControl w:val="0"/>
        <w:shd w:val="clear" w:color="auto" w:fill="auto"/>
        <w:spacing w:before="0" w:after="220" w:line="240" w:lineRule="auto"/>
        <w:ind w:left="140" w:right="0" w:firstLine="0"/>
        <w:jc w:val="left"/>
      </w:pPr>
      <w:r>
        <w:rPr>
          <w:rStyle w:val="CharStyle25"/>
          <w:color w:val="464648"/>
        </w:rPr>
        <w:t>Jerry,</w:t>
      </w:r>
    </w:p>
    <w:p>
      <w:pPr>
        <w:pStyle w:val="Style110"/>
        <w:keepNext w:val="0"/>
        <w:keepLines w:val="0"/>
        <w:widowControl w:val="0"/>
        <w:shd w:val="clear" w:color="auto" w:fill="auto"/>
        <w:spacing w:before="0"/>
        <w:ind w:left="140" w:right="0" w:firstLine="0"/>
        <w:jc w:val="left"/>
        <w:rPr>
          <w:sz w:val="18"/>
        </w:rPr>
      </w:pPr>
      <w:r>
        <w:rPr>
          <w:rStyle w:val="CharStyle111"/>
          <w:color w:val="303030"/>
          <w:sz w:val="18"/>
        </w:rPr>
        <w:t xml:space="preserve">Je </w:t>
      </w:r>
      <w:r>
        <w:rPr>
          <w:rStyle w:val="CharStyle111"/>
          <w:sz w:val="18"/>
        </w:rPr>
        <w:t xml:space="preserve">vous mets à jour sur mon ordinateur et la situation de l'ordre de bâillon.</w:t>
      </w:r>
    </w:p>
    <w:p>
      <w:pPr>
        <w:pStyle w:val="Style110"/>
        <w:keepNext w:val="0"/>
        <w:keepLines w:val="0"/>
        <w:widowControl w:val="0"/>
        <w:shd w:val="clear" w:color="auto" w:fill="auto"/>
        <w:spacing w:before="0" w:line="264" w:lineRule="auto"/>
        <w:ind w:left="140" w:right="0" w:firstLine="0"/>
        <w:jc w:val="left"/>
        <w:rPr>
          <w:sz w:val="18"/>
        </w:rPr>
      </w:pPr>
      <w:r>
        <w:rPr>
          <w:rStyle w:val="CharStyle111"/>
          <w:sz w:val="18"/>
        </w:rPr>
        <w:t xml:space="preserve">Avec l'aide </w:t>
      </w:r>
      <w:r>
        <w:rPr>
          <w:rStyle w:val="CharStyle111"/>
          <w:color w:val="303030"/>
          <w:sz w:val="18"/>
        </w:rPr>
        <w:t xml:space="preserve">de </w:t>
      </w:r>
      <w:r>
        <w:rPr>
          <w:rStyle w:val="CharStyle111"/>
          <w:sz w:val="18"/>
        </w:rPr>
        <w:t xml:space="preserve">nos informaticiens, </w:t>
      </w:r>
      <w:r>
        <w:rPr>
          <w:rStyle w:val="CharStyle111"/>
          <w:color w:val="303030"/>
          <w:sz w:val="18"/>
        </w:rPr>
        <w:t xml:space="preserve">j'ai </w:t>
      </w:r>
      <w:r>
        <w:rPr>
          <w:rStyle w:val="CharStyle111"/>
          <w:sz w:val="18"/>
        </w:rPr>
        <w:t xml:space="preserve">passé en revue toute la situation de l'ordinateur et du téléphone. </w:t>
      </w:r>
      <w:r>
        <w:rPr>
          <w:rStyle w:val="CharStyle111"/>
          <w:color w:val="303030"/>
          <w:sz w:val="18"/>
        </w:rPr>
        <w:t xml:space="preserve">Ils ont </w:t>
      </w:r>
      <w:r>
        <w:rPr>
          <w:rStyle w:val="CharStyle111"/>
          <w:sz w:val="18"/>
        </w:rPr>
        <w:t xml:space="preserve">chargé </w:t>
      </w:r>
      <w:r>
        <w:rPr>
          <w:rStyle w:val="CharStyle111"/>
          <w:color w:val="303030"/>
          <w:sz w:val="18"/>
        </w:rPr>
        <w:t xml:space="preserve">un </w:t>
      </w:r>
      <w:r>
        <w:rPr>
          <w:rStyle w:val="CharStyle111"/>
          <w:sz w:val="18"/>
        </w:rPr>
        <w:t xml:space="preserve">logiciel de piratage de fourmis </w:t>
      </w:r>
      <w:r>
        <w:rPr>
          <w:rStyle w:val="CharStyle111"/>
          <w:color w:val="303030"/>
          <w:sz w:val="18"/>
        </w:rPr>
        <w:t xml:space="preserve">sur </w:t>
      </w:r>
      <w:r>
        <w:rPr>
          <w:rStyle w:val="CharStyle111"/>
          <w:sz w:val="18"/>
        </w:rPr>
        <w:t xml:space="preserve">mon téléphone et ont discuté de la situation avec moi.</w:t>
      </w:r>
    </w:p>
    <w:p>
      <w:pPr>
        <w:pStyle w:val="Style110"/>
        <w:keepNext w:val="0"/>
        <w:keepLines w:val="0"/>
        <w:widowControl w:val="0"/>
        <w:shd w:val="clear" w:color="auto" w:fill="auto"/>
        <w:spacing w:before="0" w:line="262" w:lineRule="auto"/>
        <w:ind w:left="140" w:right="0" w:firstLine="0"/>
        <w:jc w:val="left"/>
        <w:rPr>
          <w:sz w:val="18"/>
        </w:rPr>
      </w:pPr>
      <w:r>
        <w:rPr>
          <w:rStyle w:val="CharStyle111"/>
          <w:sz w:val="18"/>
        </w:rPr>
        <w:t xml:space="preserve">Fondamentalement, mon gmail est maintenant à l'abri de </w:t>
      </w:r>
      <w:r>
        <w:rPr>
          <w:rStyle w:val="CharStyle111"/>
          <w:color w:val="303030"/>
          <w:sz w:val="18"/>
        </w:rPr>
        <w:t xml:space="preserve">FOIA </w:t>
      </w:r>
      <w:r>
        <w:rPr>
          <w:rStyle w:val="CharStyle111"/>
          <w:sz w:val="18"/>
        </w:rPr>
        <w:t xml:space="preserve">et du piratage sur tous mes appareils, y compris l'ordinateur et le téléphone du gouvernement, et mon ordinateur privé et mon iPad.</w:t>
      </w:r>
    </w:p>
    <w:p>
      <w:pPr>
        <w:pStyle w:val="Style110"/>
        <w:keepNext w:val="0"/>
        <w:keepLines w:val="0"/>
        <w:widowControl w:val="0"/>
        <w:shd w:val="clear" w:color="auto" w:fill="auto"/>
        <w:spacing w:before="0" w:line="257" w:lineRule="auto"/>
        <w:ind w:left="140" w:right="0" w:firstLine="0"/>
        <w:jc w:val="left"/>
        <w:rPr>
          <w:sz w:val="18"/>
        </w:rPr>
      </w:pPr>
      <w:r>
        <w:rPr>
          <w:rStyle w:val="CharStyle111"/>
          <w:sz w:val="18"/>
        </w:rPr>
        <w:t xml:space="preserve">Ainsi, il devrait être sûr de communiquer en toute sécurité avec vous, Peter, et d'autres, tant que nous utilisons mon gmail privé.</w:t>
      </w:r>
    </w:p>
    <w:p>
      <w:pPr>
        <w:pStyle w:val="Style110"/>
        <w:keepNext w:val="0"/>
        <w:keepLines w:val="0"/>
        <w:widowControl w:val="0"/>
        <w:shd w:val="clear" w:color="auto" w:fill="auto"/>
        <w:spacing w:before="0" w:line="257" w:lineRule="auto"/>
        <w:ind w:left="140" w:right="0" w:firstLine="0"/>
        <w:jc w:val="left"/>
        <w:rPr>
          <w:sz w:val="18"/>
        </w:rPr>
      </w:pPr>
      <w:r>
        <w:rPr>
          <w:rStyle w:val="CharStyle111"/>
          <w:sz w:val="18"/>
        </w:rPr>
        <w:t xml:space="preserve">Vous avez peut-être remarqué que je vous ai intentionnellement transmis </w:t>
      </w:r>
      <w:r>
        <w:rPr>
          <w:rStyle w:val="CharStyle111"/>
          <w:color w:val="303030"/>
          <w:sz w:val="18"/>
        </w:rPr>
        <w:t xml:space="preserve">des clips d’information que je </w:t>
      </w:r>
      <w:r>
        <w:rPr>
          <w:rStyle w:val="CharStyle111"/>
          <w:sz w:val="18"/>
        </w:rPr>
        <w:t xml:space="preserve">reçois tous les jours, envoyés à partir de mon courrier électronique du gouvernement, mais c’est correct tant que vous ne répondez pas à ce courrier électronique. </w:t>
      </w:r>
      <w:r>
        <w:rPr>
          <w:rStyle w:val="CharStyle111"/>
          <w:color w:val="303030"/>
          <w:sz w:val="18"/>
        </w:rPr>
        <w:t xml:space="preserve">J'ai fait cela </w:t>
      </w:r>
      <w:r>
        <w:rPr>
          <w:rStyle w:val="CharStyle111"/>
          <w:sz w:val="18"/>
        </w:rPr>
        <w:t xml:space="preserve">parce que cela </w:t>
      </w:r>
      <w:r>
        <w:rPr>
          <w:rStyle w:val="CharStyle111"/>
          <w:color w:val="303030"/>
          <w:sz w:val="18"/>
        </w:rPr>
        <w:t xml:space="preserve">ne devrait pas </w:t>
      </w:r>
      <w:r>
        <w:rPr>
          <w:rStyle w:val="CharStyle111"/>
          <w:sz w:val="18"/>
        </w:rPr>
        <w:t xml:space="preserve">apparaître dans un FOIA, est inoffensif car il ne fait que transférer un élément tiers déjà </w:t>
      </w:r>
      <w:r>
        <w:rPr>
          <w:rStyle w:val="CharStyle111"/>
          <w:color w:val="303030"/>
          <w:sz w:val="18"/>
        </w:rPr>
        <w:t xml:space="preserve">dans </w:t>
      </w:r>
      <w:r>
        <w:rPr>
          <w:rStyle w:val="CharStyle111"/>
          <w:sz w:val="18"/>
        </w:rPr>
        <w:t xml:space="preserve">le domaine public, et parce qu'il </w:t>
      </w:r>
      <w:r>
        <w:rPr>
          <w:rStyle w:val="CharStyle111"/>
          <w:color w:val="303030"/>
          <w:sz w:val="18"/>
        </w:rPr>
        <w:t xml:space="preserve"> </w:t>
      </w:r>
      <w:r>
        <w:rPr>
          <w:rStyle w:val="CharStyle111"/>
          <w:sz w:val="18"/>
        </w:rPr>
        <w:t xml:space="preserve">m'épargne le transfert vers mon propre </w:t>
      </w:r>
      <w:r>
        <w:rPr>
          <w:rStyle w:val="CharStyle111"/>
          <w:color w:val="303030"/>
          <w:sz w:val="18"/>
        </w:rPr>
        <w:t xml:space="preserve">gmail, </w:t>
      </w:r>
      <w:r>
        <w:rPr>
          <w:rStyle w:val="CharStyle111"/>
          <w:sz w:val="18"/>
        </w:rPr>
        <w:t xml:space="preserve">puis vers vous.</w:t>
      </w:r>
    </w:p>
    <w:p>
      <w:pPr>
        <w:pStyle w:val="Style110"/>
        <w:keepNext w:val="0"/>
        <w:keepLines w:val="0"/>
        <w:widowControl w:val="0"/>
        <w:shd w:val="clear" w:color="auto" w:fill="auto"/>
        <w:spacing w:before="0" w:after="500"/>
        <w:ind w:left="140" w:right="0" w:firstLine="0"/>
        <w:jc w:val="left"/>
        <w:rPr>
          <w:sz w:val="18"/>
        </w:rPr>
      </w:pPr>
      <w:r>
        <w:rPr>
          <w:rStyle w:val="CharStyle111"/>
          <w:sz w:val="18"/>
        </w:rPr>
        <w:t xml:space="preserve">S’il </w:t>
      </w:r>
      <w:r>
        <w:rPr>
          <w:rStyle w:val="CharStyle111"/>
          <w:color w:val="303030"/>
          <w:sz w:val="18"/>
        </w:rPr>
        <w:t xml:space="preserve">vous plaît, transmettez-le </w:t>
      </w:r>
      <w:r>
        <w:rPr>
          <w:rStyle w:val="CharStyle111"/>
          <w:sz w:val="18"/>
        </w:rPr>
        <w:t xml:space="preserve">à Peter et je vous demande à tous les deux que </w:t>
      </w:r>
      <w:r>
        <w:rPr>
          <w:rStyle w:val="CharStyle111"/>
          <w:color w:val="303030"/>
          <w:sz w:val="18"/>
        </w:rPr>
        <w:t xml:space="preserve">RIEN ne m’est </w:t>
      </w:r>
      <w:r>
        <w:rPr>
          <w:rStyle w:val="CharStyle111"/>
          <w:sz w:val="18"/>
        </w:rPr>
        <w:t xml:space="preserve"> </w:t>
      </w:r>
      <w:r>
        <w:rPr>
          <w:rStyle w:val="CharStyle111"/>
          <w:color w:val="303030"/>
          <w:sz w:val="18"/>
        </w:rPr>
        <w:t xml:space="preserve">envoyé, </w:t>
      </w:r>
      <w:r>
        <w:rPr>
          <w:rStyle w:val="CharStyle111"/>
          <w:sz w:val="18"/>
        </w:rPr>
        <w:t xml:space="preserve">sauf </w:t>
      </w:r>
      <w:r>
        <w:rPr>
          <w:rStyle w:val="CharStyle111"/>
          <w:color w:val="303030"/>
          <w:sz w:val="18"/>
        </w:rPr>
        <w:t xml:space="preserve">à </w:t>
      </w:r>
      <w:r>
        <w:rPr>
          <w:rStyle w:val="CharStyle111"/>
          <w:sz w:val="18"/>
        </w:rPr>
        <w:t xml:space="preserve">mon </w:t>
      </w:r>
      <w:r>
        <w:rPr>
          <w:rStyle w:val="CharStyle111"/>
          <w:color w:val="303030"/>
          <w:sz w:val="18"/>
        </w:rPr>
        <w:t xml:space="preserve">gmail, </w:t>
      </w:r>
      <w:r>
        <w:rPr>
          <w:rStyle w:val="CharStyle111"/>
          <w:sz w:val="18"/>
        </w:rPr>
        <w:t xml:space="preserve">et assurez-vous </w:t>
      </w:r>
      <w:r>
        <w:rPr>
          <w:rStyle w:val="CharStyle111"/>
          <w:color w:val="303030"/>
          <w:sz w:val="18"/>
        </w:rPr>
        <w:t xml:space="preserve">que ce qui </w:t>
      </w:r>
      <w:r>
        <w:rPr>
          <w:rStyle w:val="CharStyle111"/>
          <w:sz w:val="18"/>
        </w:rPr>
        <w:t xml:space="preserve">est envoyé à mon gmail n’a pas de cc à un autre employé du gouvernement </w:t>
      </w:r>
      <w:r>
        <w:rPr>
          <w:rStyle w:val="CharStyle111"/>
          <w:color w:val="303030"/>
          <w:sz w:val="18"/>
        </w:rPr>
        <w:t xml:space="preserve">qui </w:t>
      </w:r>
      <w:r>
        <w:rPr>
          <w:rStyle w:val="CharStyle111"/>
          <w:sz w:val="18"/>
        </w:rPr>
        <w:t xml:space="preserve">pourrait être FOlA’d.</w:t>
      </w:r>
    </w:p>
    <w:p>
      <w:pPr>
        <w:pStyle w:val="Style24"/>
        <w:keepNext w:val="0"/>
        <w:keepLines w:val="0"/>
        <w:widowControl w:val="0"/>
        <w:shd w:val="clear" w:color="auto" w:fill="auto"/>
        <w:spacing w:before="0" w:after="280"/>
        <w:ind w:left="0" w:right="0" w:firstLine="740"/>
        <w:jc w:val="left"/>
      </w:pPr>
      <w:r>
        <w:rPr>
          <w:rStyle w:val="CharStyle25"/>
        </w:rPr>
        <w:t xml:space="preserve">La FOIA est une loi fondamentale qui favorise la transparence, la responsabilisation et la confiance dans les institutions gouvernementales et leurs dirigeants.</w:t>
        <w:footnoteReference w:id="374"/>
        <w:t xml:space="preserve"> Il est essentiel de veiller à ce que les entités gouvernementales soient tenues responsables. Ce processus permet l'examen minutieux des documents qui pourraient autrement être négligés, et a le potentiel de découvrir la corruption, l'inefficacité ou les échecs. La FOIA informe le public et, à ce titre, renforce les fondements de la démocratie. C'est censé être un système qui encourage la transparence, pas un système derrière lequel se cacher.</w:t>
      </w:r>
    </w:p>
    <w:p>
      <w:pPr>
        <w:pStyle w:val="Style24"/>
        <w:keepNext w:val="0"/>
        <w:keepLines w:val="0"/>
        <w:widowControl w:val="0"/>
        <w:shd w:val="clear" w:color="auto" w:fill="auto"/>
        <w:spacing w:before="0" w:after="280"/>
        <w:ind w:left="0" w:right="0" w:firstLine="740"/>
        <w:jc w:val="left"/>
      </w:pPr>
      <w:r>
        <w:rPr>
          <w:rStyle w:val="CharStyle25"/>
        </w:rPr>
        <w:t xml:space="preserve">Le Dr Morens a témoigné qu'il comprenait que ses courriels étaient considérés comme un document en vertu de la FOIA et qu'il était tenu de conserver ces documents.</w:t>
        <w:footnoteReference w:id="375"/>
        <w:t xml:space="preserve"> De plus, le Dr Morens a témoigné qu'il n'a pas tenté de contourner la FOIA en utilisant ses comptes de courriel personnels.</w:t>
      </w:r>
    </w:p>
    <w:p>
      <w:pPr>
        <w:pStyle w:val="Style24"/>
        <w:keepNext w:val="0"/>
        <w:keepLines w:val="0"/>
        <w:widowControl w:val="0"/>
        <w:shd w:val="clear" w:color="auto" w:fill="auto"/>
        <w:spacing w:before="0" w:after="220"/>
        <w:ind w:left="0" w:right="0" w:firstLine="740"/>
        <w:jc w:val="left"/>
      </w:pPr>
      <w:r>
        <w:rPr>
          <w:rStyle w:val="CharStyle25"/>
          <w:u w:val="single"/>
        </w:rPr>
        <w:t xml:space="preserve">Dr David Morens (18 janvier 2024)</w:t>
      </w:r>
    </w:p>
    <w:p>
      <w:pPr>
        <w:pStyle w:val="Style24"/>
        <w:keepNext w:val="0"/>
        <w:keepLines w:val="0"/>
        <w:widowControl w:val="0"/>
        <w:shd w:val="clear" w:color="auto" w:fill="auto"/>
        <w:spacing w:before="0" w:after="220"/>
        <w:ind w:left="1460" w:right="0" w:hanging="720"/>
        <w:jc w:val="left"/>
      </w:pPr>
      <w:r>
        <w:rPr>
          <w:rStyle w:val="CharStyle25"/>
        </w:rPr>
        <w:t xml:space="preserve">Êtes-vous au courant de la Freedom of Information Act, communément appelée FOIA, et des obligations qu'elle impose aux employés des agences fédérales?</w:t>
      </w:r>
    </w:p>
    <w:p>
      <w:pPr>
        <w:pStyle w:val="Style24"/>
        <w:keepNext w:val="0"/>
        <w:keepLines w:val="0"/>
        <w:widowControl w:val="0"/>
        <w:shd w:val="clear" w:color="auto" w:fill="auto"/>
        <w:spacing w:before="0"/>
        <w:ind w:left="0" w:right="0" w:firstLine="740"/>
        <w:jc w:val="left"/>
      </w:pPr>
      <w:r>
        <w:rPr>
          <w:rStyle w:val="CharStyle25"/>
        </w:rPr>
        <w:t xml:space="preserve">R. Je crois que oui.</w:t>
      </w:r>
    </w:p>
    <w:p>
      <w:pPr>
        <w:pStyle w:val="Style24"/>
        <w:keepNext w:val="0"/>
        <w:keepLines w:val="0"/>
        <w:widowControl w:val="0"/>
        <w:shd w:val="clear" w:color="auto" w:fill="auto"/>
        <w:spacing w:before="0" w:line="259" w:lineRule="auto"/>
        <w:ind w:left="1460" w:right="0" w:hanging="720"/>
        <w:jc w:val="left"/>
      </w:pPr>
      <w:r>
        <w:rPr>
          <w:rStyle w:val="CharStyle25"/>
        </w:rPr>
        <w:t xml:space="preserve">Q. Et la FOIA donne au public le droit de demander l'accès aux documents des organismes du gouvernement fédéral, n'est-ce pas?</w:t>
      </w:r>
    </w:p>
    <w:p>
      <w:pPr>
        <w:pStyle w:val="Style24"/>
        <w:keepNext w:val="0"/>
        <w:keepLines w:val="0"/>
        <w:widowControl w:val="0"/>
        <w:shd w:val="clear" w:color="auto" w:fill="auto"/>
        <w:spacing w:before="0"/>
        <w:ind w:left="0" w:right="0" w:firstLine="740"/>
        <w:jc w:val="left"/>
      </w:pPr>
      <w:r>
        <w:rPr>
          <w:rStyle w:val="CharStyle25"/>
        </w:rPr>
        <w:t xml:space="preserve">R. Oui.</w:t>
      </w:r>
    </w:p>
    <w:p>
      <w:pPr>
        <w:pStyle w:val="Style24"/>
        <w:keepNext w:val="0"/>
        <w:keepLines w:val="0"/>
        <w:widowControl w:val="0"/>
        <w:shd w:val="clear" w:color="auto" w:fill="auto"/>
        <w:spacing w:before="0" w:line="264" w:lineRule="auto"/>
        <w:ind w:left="1460" w:right="0" w:hanging="720"/>
        <w:jc w:val="left"/>
      </w:pPr>
      <w:r>
        <w:rPr>
          <w:rStyle w:val="CharStyle25"/>
        </w:rPr>
        <w:t xml:space="preserve">Q. Et les courriels de travail d'un employé d'une agence fédérale sont considérés comme un dossier en vertu de la FOIA, n'est-ce pas?</w:t>
      </w:r>
    </w:p>
    <w:p>
      <w:pPr>
        <w:pStyle w:val="Style24"/>
        <w:keepNext w:val="0"/>
        <w:keepLines w:val="0"/>
        <w:widowControl w:val="0"/>
        <w:shd w:val="clear" w:color="auto" w:fill="auto"/>
        <w:spacing w:before="0"/>
        <w:ind w:left="0" w:right="0" w:firstLine="740"/>
        <w:jc w:val="left"/>
      </w:pPr>
      <w:r>
        <w:rPr>
          <w:rStyle w:val="CharStyle25"/>
        </w:rPr>
        <w:t xml:space="preserve">R. Je pense que oui.</w:t>
      </w:r>
    </w:p>
    <w:p>
      <w:pPr>
        <w:pStyle w:val="Style24"/>
        <w:keepNext w:val="0"/>
        <w:keepLines w:val="0"/>
        <w:widowControl w:val="0"/>
        <w:shd w:val="clear" w:color="auto" w:fill="auto"/>
        <w:spacing w:before="0" w:line="264" w:lineRule="auto"/>
        <w:ind w:left="1460" w:right="0" w:hanging="720"/>
        <w:jc w:val="left"/>
      </w:pPr>
      <w:r>
        <w:rPr>
          <w:rStyle w:val="CharStyle25"/>
        </w:rPr>
        <w:t xml:space="preserve">Q. Et les employés des agences fédérales sont tenus de tenir des dossiers gouvernementaux pour que les demandes FOIA soient traitées correctement, n'est-ce pas?</w:t>
      </w:r>
    </w:p>
    <w:p>
      <w:pPr>
        <w:pStyle w:val="Style24"/>
        <w:keepNext w:val="0"/>
        <w:keepLines w:val="0"/>
        <w:widowControl w:val="0"/>
        <w:shd w:val="clear" w:color="auto" w:fill="auto"/>
        <w:spacing w:before="0"/>
        <w:ind w:left="0" w:right="0" w:firstLine="740"/>
        <w:jc w:val="left"/>
      </w:pPr>
      <w:r>
        <w:rPr>
          <w:rStyle w:val="CharStyle25"/>
        </w:rPr>
        <w:t xml:space="preserve">R. Oui.</w:t>
      </w:r>
    </w:p>
    <w:p>
      <w:pPr>
        <w:pStyle w:val="Style24"/>
        <w:keepNext w:val="0"/>
        <w:keepLines w:val="0"/>
        <w:widowControl w:val="0"/>
        <w:shd w:val="clear" w:color="auto" w:fill="auto"/>
        <w:spacing w:before="0"/>
        <w:ind w:left="1460" w:right="0" w:hanging="720"/>
        <w:jc w:val="both"/>
      </w:pPr>
      <w:r>
        <w:rPr>
          <w:rStyle w:val="CharStyle25"/>
        </w:rPr>
        <w:t xml:space="preserve">Q. La FOIA est l'un des principaux moyens pour le public de tenir le gouvernement responsable et, à ce titre, il est important que tous les employés des agences fédérales tiennent des dossiers correctement pour que les agents de la FOIA puissent répondre aux demandes de la FOIA pleinement et complètement; Est-ce exact?</w:t>
      </w:r>
    </w:p>
    <w:p>
      <w:pPr>
        <w:pStyle w:val="Style24"/>
        <w:keepNext w:val="0"/>
        <w:keepLines w:val="0"/>
        <w:widowControl w:val="0"/>
        <w:shd w:val="clear" w:color="auto" w:fill="auto"/>
        <w:spacing w:before="0"/>
        <w:ind w:left="0" w:right="0" w:firstLine="740"/>
        <w:jc w:val="left"/>
      </w:pPr>
      <w:r>
        <w:rPr>
          <w:rStyle w:val="CharStyle25"/>
        </w:rPr>
        <w:t xml:space="preserve">R. Oui.</w:t>
      </w:r>
    </w:p>
    <w:p>
      <w:pPr>
        <w:pStyle w:val="Style24"/>
        <w:keepNext w:val="0"/>
        <w:keepLines w:val="0"/>
        <w:widowControl w:val="0"/>
        <w:shd w:val="clear" w:color="auto" w:fill="auto"/>
        <w:spacing w:before="0" w:line="259" w:lineRule="auto"/>
        <w:ind w:left="1460" w:right="0" w:hanging="720"/>
        <w:jc w:val="left"/>
      </w:pPr>
      <w:r>
        <w:rPr>
          <w:rStyle w:val="CharStyle25"/>
        </w:rPr>
        <w:t xml:space="preserve">Q. Avez-vous tenté de contourner la FOIA en utilisant un compte de messagerie personnel pour des discussions de travail officielles?</w:t>
      </w:r>
    </w:p>
    <w:p>
      <w:pPr>
        <w:pStyle w:val="Style24"/>
        <w:keepNext w:val="0"/>
        <w:keepLines w:val="0"/>
        <w:widowControl w:val="0"/>
        <w:shd w:val="clear" w:color="auto" w:fill="auto"/>
        <w:tabs>
          <w:tab w:pos="1388" w:val="left"/>
        </w:tabs>
        <w:spacing w:before="0" w:after="320"/>
        <w:ind w:left="0" w:right="0" w:firstLine="740"/>
        <w:jc w:val="left"/>
      </w:pPr>
      <w:r>
        <w:rPr>
          <w:rStyle w:val="CharStyle25"/>
        </w:rPr>
        <w:t>A.</w:t>
        <w:tab/>
        <w:t>Non.</w:t>
        <w:footnoteReference w:id="376"/>
      </w:r>
    </w:p>
    <w:p>
      <w:pPr>
        <w:pStyle w:val="Style24"/>
        <w:keepNext w:val="0"/>
        <w:keepLines w:val="0"/>
        <w:widowControl w:val="0"/>
        <w:shd w:val="clear" w:color="auto" w:fill="auto"/>
        <w:spacing w:before="0" w:after="320"/>
        <w:ind w:left="0" w:right="0" w:firstLine="0"/>
        <w:jc w:val="left"/>
      </w:pPr>
      <w:r>
        <w:rPr>
          <w:rStyle w:val="CharStyle25"/>
        </w:rPr>
        <w:t xml:space="preserve">CONSTATATION : Le Dr David Morens a supprimé des documents fédéraux en violation du 18 U.S.C. 2071.</w:t>
      </w:r>
    </w:p>
    <w:p>
      <w:pPr>
        <w:pStyle w:val="Style24"/>
        <w:keepNext w:val="0"/>
        <w:keepLines w:val="0"/>
        <w:widowControl w:val="0"/>
        <w:shd w:val="clear" w:color="auto" w:fill="auto"/>
        <w:spacing w:before="0"/>
        <w:ind w:left="0" w:right="0" w:firstLine="740"/>
        <w:jc w:val="left"/>
      </w:pPr>
      <w:r>
        <w:rPr>
          <w:rStyle w:val="CharStyle25"/>
        </w:rPr>
        <w:t xml:space="preserve">La tenue et la préservation des documents fédéraux relèvent de la responsabilité de tous les employés fédéraux. En fait, c'est un crime de supprimer ou de tenter de supprimer des documents fédéraux. En conséquence, 18 U.S.C. 2071 déclare:</w:t>
      </w:r>
    </w:p>
    <w:p>
      <w:pPr>
        <w:pStyle w:val="Style24"/>
        <w:keepNext w:val="0"/>
        <w:keepLines w:val="0"/>
        <w:widowControl w:val="0"/>
        <w:shd w:val="clear" w:color="auto" w:fill="auto"/>
        <w:spacing w:before="0" w:after="280"/>
        <w:ind w:left="740" w:right="0" w:firstLine="0"/>
        <w:jc w:val="left"/>
      </w:pPr>
      <w:r>
        <w:rPr>
          <w:rStyle w:val="CharStyle25"/>
        </w:rPr>
        <w:t xml:space="preserve">Quiconque, volontairement et illégalement, dissimule, enlève, mutile, oblitère ou détruit, ou tente de le faire, ou, avec l'intention de le faire, prend et emporte tout document, procédure, carte, livre, papier, document ou autre chose, déposé ou déposé auprès d'un greffier ou d'un officier d'un tribunal des États-Unis, ou dans toute fonction publique, ou auprès d'un magistrat ou d'un officier public des États-Unis, sera passible d'une amende en vertu de ce titre ou d'une peine d'emprisonnement maximale de trois ans, ou les deux.</w:t>
        <w:footnoteReference w:id="377"/>
      </w:r>
    </w:p>
    <w:p>
      <w:pPr>
        <w:pStyle w:val="Style24"/>
        <w:keepNext w:val="0"/>
        <w:keepLines w:val="0"/>
        <w:widowControl w:val="0"/>
        <w:shd w:val="clear" w:color="auto" w:fill="auto"/>
        <w:spacing w:before="0" w:after="240"/>
        <w:ind w:left="0" w:right="0" w:firstLine="740"/>
        <w:jc w:val="left"/>
      </w:pPr>
      <w:r>
        <w:rPr>
          <w:rStyle w:val="CharStyle25"/>
        </w:rPr>
        <w:t xml:space="preserve">Ce crime est une interdiction générale contre la destruction de documents gouvernementaux ou toute tentative de détruire de tels documents.</w:t>
        <w:footnoteReference w:id="378"/>
        <w:t xml:space="preserve"> Le Dr Morens a intentionnellement supprimé des dossiers fédéraux ou, si ses dossiers sont automatiquement conservés, il a intentionnellement tenté de supprimer des dossiers fédéraux.</w:t>
      </w:r>
    </w:p>
    <w:p>
      <w:pPr>
        <w:pStyle w:val="Style24"/>
        <w:keepNext w:val="0"/>
        <w:keepLines w:val="0"/>
        <w:widowControl w:val="0"/>
        <w:shd w:val="clear" w:color="auto" w:fill="auto"/>
        <w:spacing w:before="0" w:after="420" w:line="264" w:lineRule="auto"/>
        <w:ind w:left="0" w:right="0" w:firstLine="740"/>
        <w:jc w:val="left"/>
      </w:pPr>
      <w:r>
        <w:rPr>
          <w:rStyle w:val="CharStyle25"/>
        </w:rPr>
        <w:t xml:space="preserve">Le 21 janvier 2022, le Dr Morens a écrit: «[deux] fois dans le passé, y compris il y a environ un mois, j’ai tout supprimé avec les personnes [d’EcoHealth] de l’ensemble de mes perspectives...».</w:t>
        <w:footnoteReference w:id="379"/>
      </w:r>
    </w:p>
    <w:p>
      <w:pPr>
        <w:pStyle w:val="Style27"/>
        <w:keepNext w:val="0"/>
        <w:keepLines w:val="0"/>
        <w:widowControl w:val="0"/>
        <w:shd w:val="clear" w:color="auto" w:fill="auto"/>
        <w:spacing w:before="0" w:after="0" w:line="240" w:lineRule="auto"/>
        <w:ind w:left="0" w:right="0" w:firstLine="0"/>
        <w:jc w:val="both"/>
        <w:rPr>
          <w:sz w:val="14"/>
        </w:rPr>
      </w:pPr>
      <w:r>
        <w:rPr>
          <w:rStyle w:val="CharStyle28"/>
          <w:sz w:val="14"/>
        </w:rPr>
        <w:t>Message</w:t>
      </w:r>
    </w:p>
    <w:p>
      <w:pPr>
        <w:widowControl w:val="0"/>
        <w:jc w:val="center"/>
        <w:rPr>
          <w:sz w:val="2"/>
        </w:rPr>
      </w:pPr>
      <w:r>
        <w:drawing>
          <wp:inline>
            <wp:extent cx="5553710" cy="798830"/>
            <wp:docPr id="163" name="Picutre 163"/>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8"/>
                    <a:stretch/>
                  </pic:blipFill>
                  <pic:spPr>
                    <a:xfrm>
                      <a:ext cx="5553710" cy="798830"/>
                    </a:xfrm>
                    <a:prstGeom prst="rect"/>
                  </pic:spPr>
                </pic:pic>
              </a:graphicData>
            </a:graphic>
          </wp:inline>
        </w:drawing>
      </w:r>
    </w:p>
    <w:p>
      <w:pPr>
        <w:pStyle w:val="Style27"/>
        <w:keepNext w:val="0"/>
        <w:keepLines w:val="0"/>
        <w:widowControl w:val="0"/>
        <w:shd w:val="clear" w:color="auto" w:fill="auto"/>
        <w:tabs>
          <w:tab w:pos="1042" w:val="left"/>
        </w:tabs>
        <w:spacing w:before="0" w:after="0" w:line="240" w:lineRule="auto"/>
        <w:ind w:left="0" w:right="0" w:firstLine="0"/>
        <w:jc w:val="left"/>
        <w:rPr>
          <w:sz w:val="14"/>
        </w:rPr>
      </w:pPr>
      <w:r>
        <w:rPr>
          <w:rStyle w:val="CharStyle28"/>
          <w:color w:val="464648"/>
          <w:sz w:val="14"/>
        </w:rPr>
        <w:t>Objet:</w:t>
        <w:tab/>
        <w:t xml:space="preserve">En ce qui concerne: FW : Article sur notre correspondance avec les NIH au sujet de la subvention dont l'échéance est maintenant suspendue</w:t>
      </w:r>
    </w:p>
    <w:p>
      <w:pPr>
        <w:widowControl w:val="0"/>
        <w:spacing w:after="419" w:line="1" w:lineRule="exact"/>
      </w:pPr>
    </w:p>
    <w:p>
      <w:pPr>
        <w:pStyle w:val="Style18"/>
        <w:keepNext w:val="0"/>
        <w:keepLines w:val="0"/>
        <w:widowControl w:val="0"/>
        <w:shd w:val="clear" w:color="auto" w:fill="auto"/>
        <w:spacing w:before="0" w:after="240" w:line="240" w:lineRule="auto"/>
        <w:ind w:left="300" w:right="0" w:firstLine="40"/>
        <w:jc w:val="left"/>
        <w:rPr>
          <w:sz w:val="20"/>
        </w:rPr>
      </w:pPr>
      <w:r>
        <w:rPr>
          <w:rStyle w:val="CharStyle19"/>
          <w:rFonts w:ascii="Arial" w:hAnsi="Arial" w:cs="Arial" w:eastAsia="Arial"/>
          <w:color w:val="464648"/>
          <w:sz w:val="20"/>
        </w:rPr>
        <w:t xml:space="preserve">Deux fois dans le passé, y compris il y a environ un mois, j'ai tout supprimé avec des personnes EHA de l'ensemble de mon Outlook.</w:t>
      </w:r>
    </w:p>
    <w:p>
      <w:pPr>
        <w:pStyle w:val="Style27"/>
        <w:keepNext w:val="0"/>
        <w:keepLines w:val="0"/>
        <w:widowControl w:val="0"/>
        <w:shd w:val="clear" w:color="auto" w:fill="auto"/>
        <w:spacing w:before="0" w:after="0" w:line="240" w:lineRule="auto"/>
        <w:ind w:left="29" w:right="0" w:firstLine="0"/>
        <w:jc w:val="left"/>
        <w:rPr>
          <w:sz w:val="20"/>
        </w:rPr>
      </w:pPr>
      <w:r>
        <w:rPr>
          <w:rStyle w:val="CharStyle28"/>
          <w:color w:val="464648"/>
          <w:sz w:val="20"/>
        </w:rPr>
        <w:t>d</w:t>
      </w:r>
    </w:p>
    <w:p>
      <w:pPr>
        <w:pStyle w:val="Style27"/>
        <w:keepNext w:val="0"/>
        <w:keepLines w:val="0"/>
        <w:widowControl w:val="0"/>
        <w:shd w:val="clear" w:color="auto" w:fill="auto"/>
        <w:spacing w:before="0" w:after="0" w:line="240" w:lineRule="auto"/>
        <w:ind w:left="29" w:right="0" w:firstLine="0"/>
        <w:jc w:val="left"/>
        <w:rPr>
          <w:sz w:val="18"/>
        </w:rPr>
      </w:pPr>
      <w:r>
        <w:rPr>
          <w:rStyle w:val="CharStyle28"/>
          <w:rFonts w:ascii="Times New Roman" w:hAnsi="Times New Roman" w:cs="Times New Roman" w:eastAsia="Times New Roman"/>
          <w:color w:val="464648"/>
          <w:sz w:val="18"/>
        </w:rPr>
        <w:t xml:space="preserve">David M. Morens, M.D.</w:t>
      </w:r>
    </w:p>
    <w:p>
      <w:pPr>
        <w:widowControl w:val="0"/>
        <w:jc w:val="left"/>
        <w:rPr>
          <w:sz w:val="2"/>
        </w:rPr>
      </w:pPr>
      <w:r>
        <w:drawing>
          <wp:inline>
            <wp:extent cx="1469390" cy="1078865"/>
            <wp:docPr id="164" name="Picutre 164"/>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80"/>
                    <a:stretch/>
                  </pic:blipFill>
                  <pic:spPr>
                    <a:xfrm>
                      <a:ext cx="1469390" cy="1078865"/>
                    </a:xfrm>
                    <a:prstGeom prst="rect"/>
                  </pic:spPr>
                </pic:pic>
              </a:graphicData>
            </a:graphic>
          </wp:inline>
        </w:drawing>
      </w:r>
    </w:p>
    <w:p>
      <w:pPr>
        <w:widowControl w:val="0"/>
        <w:spacing w:after="59" w:line="1" w:lineRule="exact"/>
      </w:pPr>
    </w:p>
    <w:p>
      <w:pPr>
        <w:pStyle w:val="Style24"/>
        <w:keepNext w:val="0"/>
        <w:keepLines w:val="0"/>
        <w:widowControl w:val="0"/>
        <w:shd w:val="clear" w:color="auto" w:fill="auto"/>
        <w:spacing w:before="0" w:after="240" w:line="240" w:lineRule="auto"/>
        <w:ind w:left="300" w:right="0" w:firstLine="40"/>
        <w:jc w:val="left"/>
        <w:rPr>
          <w:sz w:val="20"/>
        </w:rPr>
      </w:pPr>
      <w:r>
        <w:rPr>
          <w:rStyle w:val="CharStyle25"/>
          <w:color w:val="656361"/>
          <w:sz w:val="20"/>
        </w:rPr>
        <w:t xml:space="preserve">IMPORTANT : Mon gmail envoie fréquemment des messages entrants à la corbeille, ce qui n'est apparemment pas correct. Si vous n'avez pas de nouvelles de moi dans un délai raisonnable, veuillez réessayer, appeler ou utiliser mon adresse e-mail Mill</w:t>
      </w:r>
    </w:p>
    <w:p>
      <w:pPr>
        <w:pStyle w:val="Style24"/>
        <w:keepNext w:val="0"/>
        <w:keepLines w:val="0"/>
        <w:widowControl w:val="0"/>
        <w:shd w:val="clear" w:color="auto" w:fill="auto"/>
        <w:spacing w:before="0" w:after="620" w:line="240" w:lineRule="auto"/>
        <w:ind w:left="0" w:right="0" w:firstLine="300"/>
        <w:jc w:val="left"/>
        <w:rPr>
          <w:sz w:val="20"/>
        </w:rPr>
      </w:pPr>
      <w:r>
        <w:rPr>
          <w:rStyle w:val="CharStyle25"/>
          <w:color w:val="656361"/>
          <w:sz w:val="20"/>
        </w:rPr>
        <w:t xml:space="preserve">IMPORTANT : Pour les e-mails liés à IJS Governipenl, veuillez également répondre à mon adresse MAID</w:t>
      </w:r>
    </w:p>
    <w:p>
      <w:pPr>
        <w:pStyle w:val="Style24"/>
        <w:keepNext w:val="0"/>
        <w:keepLines w:val="0"/>
        <w:widowControl w:val="0"/>
        <w:shd w:val="clear" w:color="auto" w:fill="auto"/>
        <w:spacing w:before="0" w:line="264" w:lineRule="auto"/>
        <w:ind w:left="0" w:right="0" w:firstLine="740"/>
        <w:jc w:val="left"/>
        <w:sectPr>
          <w:footnotePr>
            <w:pos w:val="pageBottom"/>
            <w:numFmt w:val="decimal"/>
            <w:numStart w:val="1455"/>
            <w:numRestart w:val="continuous"/>
            <w15:footnoteColumns w:val="1"/>
          </w:footnotePr>
          <w:pgSz w:w="12485" w:h="16357"/>
          <w:pgMar w:top="1609" w:right="1523" w:bottom="1569" w:left="1482" w:header="1181" w:footer="3" w:gutter="0"/>
          <w:cols w:space="720"/>
          <w:noEndnote/>
          <w:rtlGutter w:val="0"/>
          <w:docGrid w:linePitch="360"/>
        </w:sectPr>
      </w:pPr>
      <w:r>
        <w:rPr>
          <w:rStyle w:val="CharStyle25"/>
        </w:rPr>
        <w:t xml:space="preserve">Le 1er août 2022, le Dr Morens a écrit: «J’espère qu’il n’y aura aucun problème avec les courriels qui m’ont été envoyés à mon adresse personnelle. Je les ai supprimés rapidement...»</w:t>
        <w:footnoteReference w:id="380"/>
      </w:r>
    </w:p>
    <w:p>
      <w:pPr>
        <w:pStyle w:val="Style24"/>
        <w:keepNext w:val="0"/>
        <w:keepLines w:val="0"/>
        <w:widowControl w:val="0"/>
        <w:shd w:val="clear" w:color="auto" w:fill="auto"/>
        <w:tabs>
          <w:tab w:pos="1382" w:val="left"/>
        </w:tabs>
        <w:spacing w:before="0" w:after="0" w:line="240" w:lineRule="auto"/>
        <w:ind w:left="0" w:right="0" w:firstLine="420"/>
        <w:jc w:val="left"/>
      </w:pPr>
      <w:r>
        <w:rPr>
          <w:rStyle w:val="CharStyle25"/>
        </w:rPr>
        <w:t xml:space="preserve">À partir de:</w:t>
        <w:tab/>
        <w:t xml:space="preserve">David MorensH^^H</w:t>
      </w:r>
    </w:p>
    <w:p>
      <w:pPr>
        <w:pStyle w:val="Style24"/>
        <w:keepNext w:val="0"/>
        <w:keepLines w:val="0"/>
        <w:widowControl w:val="0"/>
        <w:shd w:val="clear" w:color="auto" w:fill="auto"/>
        <w:tabs>
          <w:tab w:pos="1382" w:val="left"/>
        </w:tabs>
        <w:spacing w:before="0" w:after="0" w:line="190" w:lineRule="auto"/>
        <w:ind w:left="0" w:right="0" w:firstLine="420"/>
        <w:jc w:val="left"/>
      </w:pPr>
      <w:r>
        <w:rPr>
          <w:rStyle w:val="CharStyle25"/>
        </w:rPr>
        <w:t>Envoyé:</w:t>
        <w:tab/>
        <w:t xml:space="preserve">8/1/2022 1:3</w:t>
      </w:r>
      <w:r>
        <w:rPr>
          <w:rStyle w:val="CharStyle25"/>
          <w:u w:val="single"/>
        </w:rPr>
        <w:t xml:space="preserve">9:02 ' V</w:t>
      </w:r>
    </w:p>
    <w:p>
      <w:pPr>
        <w:pStyle w:val="Style57"/>
        <w:keepNext w:val="0"/>
        <w:keepLines w:val="0"/>
        <w:widowControl w:val="0"/>
        <w:shd w:val="clear" w:color="auto" w:fill="auto"/>
        <w:tabs>
          <w:tab w:pos="1382" w:val="left"/>
        </w:tabs>
        <w:spacing w:before="0" w:after="0" w:line="182" w:lineRule="auto"/>
        <w:ind w:left="0" w:right="0" w:firstLine="420"/>
        <w:jc w:val="left"/>
      </w:pPr>
      <w:r>
        <w:drawing>
          <wp:anchor distT="0" distB="0" distL="114300" distR="114300" simplePos="0" relativeHeight="125829461" behindDoc="0" locked="0" layoutInCell="1" allowOverlap="1">
            <wp:simplePos x="0" y="0"/>
            <wp:positionH relativeFrom="page">
              <wp:posOffset>3912870</wp:posOffset>
            </wp:positionH>
            <wp:positionV relativeFrom="paragraph">
              <wp:posOffset>88900</wp:posOffset>
            </wp:positionV>
            <wp:extent cx="1408430" cy="311150"/>
            <wp:wrapSquare wrapText="left"/>
            <wp:docPr id="165" name="Forme 165"/>
            <a:graphic xmlns:a="http://schemas.openxmlformats.org/drawingml/2006/main">
              <a:graphicData uri="http://schemas.openxmlformats.org/drawingml/2006/picture">
                <pic:pic xmlns:pic="http://schemas.openxmlformats.org/drawingml/2006/picture">
                  <pic:nvPicPr>
                    <pic:cNvPr id="166" name="Boîte à images 166"/>
                    <pic:cNvPicPr/>
                  </pic:nvPicPr>
                  <pic:blipFill>
                    <a:blip r:embed="rId82"/>
                    <a:stretch/>
                  </pic:blipFill>
                  <pic:spPr>
                    <a:xfrm>
                      <a:ext cx="1408430" cy="311150"/>
                    </a:xfrm>
                    <a:prstGeom prst="rect"/>
                  </pic:spPr>
                </pic:pic>
              </a:graphicData>
            </a:graphic>
          </wp:anchor>
        </w:drawing>
      </w:r>
      <w:r>
        <w:rPr>
          <w:rStyle w:val="CharStyle58"/>
          <w:rFonts w:ascii="Times New Roman" w:hAnsi="Times New Roman" w:cs="Times New Roman" w:eastAsia="Times New Roman"/>
          <w:color w:val="000000"/>
          <w:sz w:val="22"/>
        </w:rPr>
        <w:t xml:space="preserve">À l'attention de:</w:t>
        <w:tab/>
      </w:r>
      <w:r>
        <w:rPr>
          <w:rStyle w:val="CharStyle58"/>
          <w:color w:val="000000"/>
        </w:rPr>
        <w:t xml:space="preserve">Peter DaszakUM (acteur)</w:t>
      </w:r>
    </w:p>
    <w:p>
      <w:pPr>
        <w:pStyle w:val="Style24"/>
        <w:keepNext w:val="0"/>
        <w:keepLines w:val="0"/>
        <w:widowControl w:val="0"/>
        <w:shd w:val="clear" w:color="auto" w:fill="auto"/>
        <w:tabs>
          <w:tab w:pos="1382" w:val="left"/>
        </w:tabs>
        <w:spacing w:before="0" w:after="0" w:line="190" w:lineRule="auto"/>
        <w:ind w:left="0" w:right="0" w:firstLine="420"/>
        <w:jc w:val="left"/>
      </w:pPr>
      <w:r>
        <mc:AlternateContent>
          <mc:Choice Requires="wps">
            <w:drawing>
              <wp:anchor distT="0" distB="0" distL="114300" distR="114300" simplePos="0" relativeHeight="125829462" behindDoc="0" locked="0" layoutInCell="1" allowOverlap="1">
                <wp:simplePos x="0" y="0"/>
                <wp:positionH relativeFrom="page">
                  <wp:posOffset>3235960</wp:posOffset>
                </wp:positionH>
                <wp:positionV relativeFrom="paragraph">
                  <wp:posOffset>25400</wp:posOffset>
                </wp:positionV>
                <wp:extent cx="850265" cy="252730"/>
                <wp:wrapSquare wrapText="left"/>
                <wp:docPr id="167" name="Forme 167"/>
                <a:graphic xmlns:a="http://schemas.openxmlformats.org/drawingml/2006/main">
                  <a:graphicData uri="http://schemas.microsoft.com/office/word/2010/wordprocessingShape">
                    <wps:wsp>
                      <wps:cNvSpPr txBox="1"/>
                      <wps:spPr>
                        <a:xfrm>
                          <a:ext cx="850265" cy="252730"/>
                        </a:xfrm>
                        <a:prstGeom prst="rect"/>
                        <a:noFill/>
                      </wps:spPr>
                      <wps:txbx>
                        <w:txbxContent>
                          <w:p>
                            <w:pPr>
                              <w:pStyle w:val="Style18"/>
                              <w:keepNext w:val="0"/>
                              <w:keepLines w:val="0"/>
                              <w:widowControl w:val="0"/>
                              <w:shd w:val="clear" w:color="auto" w:fill="auto"/>
                              <w:spacing w:before="0" w:after="0" w:line="240" w:lineRule="auto"/>
                              <w:ind w:left="0" w:right="0" w:firstLine="0"/>
                              <w:jc w:val="left"/>
                              <w:rPr>
                                <w:sz w:val="12"/>
                              </w:rPr>
                            </w:pPr>
                            <w:r>
                              <w:rPr>
                                <w:rStyle w:val="CharStyle19"/>
                                <w:rFonts w:ascii="Arial" w:hAnsi="Arial" w:cs="Arial" w:eastAsia="Arial"/>
                                <w:b/>
                                <w:sz w:val="12"/>
                              </w:rPr>
                              <w:t xml:space="preserve">■ Keusch Gerald </w:t>
                            </w:r>
                            <w:r>
                              <w:rPr>
                                <w:rStyle w:val="CharStyle19"/>
                                <w:rFonts w:ascii="Arial" w:hAnsi="Arial" w:cs="Arial" w:eastAsia="Arial"/>
                                <w:b/>
                                <w:color w:val="303030"/>
                                <w:sz w:val="12"/>
                              </w:rPr>
                              <w:t>T</w:t>
                            </w:r>
                          </w:p>
                          <w:p>
                            <w:pPr>
                              <w:pStyle w:val="Style24"/>
                              <w:keepNext w:val="0"/>
                              <w:keepLines w:val="0"/>
                              <w:widowControl w:val="0"/>
                              <w:shd w:val="clear" w:color="auto" w:fill="auto"/>
                              <w:spacing w:before="0" w:after="0" w:line="194" w:lineRule="auto"/>
                              <w:ind w:left="0" w:right="0" w:firstLine="0"/>
                              <w:jc w:val="left"/>
                            </w:pPr>
                            <w:r>
                              <w:rPr>
                                <w:rStyle w:val="CharStyle25"/>
                                <w:color w:val="303030"/>
                              </w:rPr>
                              <w:t xml:space="preserve">(Aleksei Chmura</w:t>
                            </w:r>
                          </w:p>
                        </w:txbxContent>
                      </wps:txbx>
                      <wps:bodyPr lIns="0" tIns="0" rIns="0" bIns="0">
                        <a:noAutoFit/>
                      </wps:bodyPr>
                    </wps:wsp>
                  </a:graphicData>
                </a:graphic>
              </wp:anchor>
            </w:drawing>
          </mc:Choice>
        </mc:AlternateContent>
      </w:r>
      <w:r>
        <mc:AlternateContent>
          <mc:Choice Requires="wps">
            <w:drawing>
              <wp:anchor distT="0" distB="0" distL="114300" distR="114300" simplePos="0" relativeHeight="125829464" behindDoc="0" locked="0" layoutInCell="1" allowOverlap="1">
                <wp:simplePos x="0" y="0"/>
                <wp:positionH relativeFrom="page">
                  <wp:posOffset>6275070</wp:posOffset>
                </wp:positionH>
                <wp:positionV relativeFrom="paragraph">
                  <wp:posOffset>25400</wp:posOffset>
                </wp:positionV>
                <wp:extent cx="182880" cy="121920"/>
                <wp:wrapSquare wrapText="left"/>
                <wp:docPr id="169" name="Forme 169"/>
                <a:graphic xmlns:a="http://schemas.openxmlformats.org/drawingml/2006/main">
                  <a:graphicData uri="http://schemas.microsoft.com/office/word/2010/wordprocessingShape">
                    <wps:wsp>
                      <wps:cNvSpPr txBox="1"/>
                      <wps:spPr>
                        <a:xfrm>
                          <a:ext cx="182880" cy="121920"/>
                        </a:xfrm>
                        <a:prstGeom prst="rect"/>
                        <a:noFill/>
                      </wps:spPr>
                      <wps:txbx>
                        <w:txbxContent>
                          <w:p>
                            <w:pPr>
                              <w:pStyle w:val="Style18"/>
                              <w:keepNext w:val="0"/>
                              <w:keepLines w:val="0"/>
                              <w:widowControl w:val="0"/>
                              <w:shd w:val="clear" w:color="auto" w:fill="auto"/>
                              <w:spacing w:before="0" w:after="0" w:line="240" w:lineRule="auto"/>
                              <w:ind w:left="0" w:right="0" w:firstLine="0"/>
                              <w:jc w:val="left"/>
                              <w:rPr>
                                <w:sz w:val="15"/>
                              </w:rPr>
                            </w:pPr>
                            <w:r>
                              <w:rPr>
                                <w:rStyle w:val="CharStyle19"/>
                                <w:color w:val="303030"/>
                                <w:sz w:val="15"/>
                              </w:rPr>
                              <w:t>Jeff</w:t>
                            </w:r>
                          </w:p>
                        </w:txbxContent>
                      </wps:txbx>
                      <wps:bodyPr wrap="none" lIns="0" tIns="0" rIns="0" bIns="0">
                        <a:noAutoFit/>
                      </wps:bodyPr>
                    </wps:wsp>
                  </a:graphicData>
                </a:graphic>
              </wp:anchor>
            </w:drawing>
          </mc:Choice>
        </mc:AlternateContent>
      </w:r>
      <w:r>
        <w:rPr>
          <w:rStyle w:val="CharStyle25"/>
        </w:rPr>
        <w:t>CO</w:t>
        <w:tab/>
        <w:t xml:space="preserve">Hotez, Peterja^^B</w:t>
      </w:r>
    </w:p>
    <w:p>
      <w:pPr>
        <w:pStyle w:val="Style24"/>
        <w:keepNext w:val="0"/>
        <w:keepLines w:val="0"/>
        <w:widowControl w:val="0"/>
        <w:shd w:val="clear" w:color="auto" w:fill="auto"/>
        <w:spacing w:before="0" w:after="0" w:line="182" w:lineRule="auto"/>
        <w:ind w:left="1460" w:right="0" w:firstLine="0"/>
        <w:jc w:val="left"/>
      </w:pPr>
      <w:r>
        <w:rPr>
          <w:rStyle w:val="CharStyle25"/>
        </w:rPr>
        <w:t>Sturchio^BM^H</w:t>
      </w:r>
    </w:p>
    <w:p>
      <w:pPr>
        <w:pStyle w:val="Style24"/>
        <w:keepNext w:val="0"/>
        <w:keepLines w:val="0"/>
        <w:widowControl w:val="0"/>
        <w:shd w:val="clear" w:color="auto" w:fill="auto"/>
        <w:tabs>
          <w:tab w:pos="1382" w:val="left"/>
        </w:tabs>
        <w:spacing w:before="0" w:after="400" w:line="185" w:lineRule="auto"/>
        <w:ind w:left="0" w:right="0" w:firstLine="420"/>
        <w:jc w:val="left"/>
      </w:pPr>
      <w:r>
        <w:rPr>
          <w:rStyle w:val="CharStyle25"/>
        </w:rPr>
        <w:t>Objet:</w:t>
        <w:tab/>
        <w:t xml:space="preserve">En ce qui concerne: mise à jour...</w:t>
      </w:r>
    </w:p>
    <w:p>
      <w:pPr>
        <w:pStyle w:val="Style18"/>
        <w:keepNext w:val="0"/>
        <w:keepLines w:val="0"/>
        <w:widowControl w:val="0"/>
        <w:shd w:val="clear" w:color="auto" w:fill="auto"/>
        <w:spacing w:before="0" w:after="240" w:line="240" w:lineRule="auto"/>
        <w:ind w:left="0" w:right="0" w:firstLine="420"/>
        <w:jc w:val="left"/>
        <w:rPr>
          <w:sz w:val="20"/>
        </w:rPr>
      </w:pPr>
      <w:r>
        <w:rPr>
          <w:rStyle w:val="CharStyle19"/>
          <w:rFonts w:ascii="Arial" w:hAnsi="Arial" w:cs="Arial" w:eastAsia="Arial"/>
          <w:sz w:val="20"/>
        </w:rPr>
        <w:t xml:space="preserve">C'est une bonne nouvelle, merci!</w:t>
      </w:r>
    </w:p>
    <w:p>
      <w:pPr>
        <w:pStyle w:val="Style18"/>
        <w:keepNext w:val="0"/>
        <w:keepLines w:val="0"/>
        <w:widowControl w:val="0"/>
        <w:shd w:val="clear" w:color="auto" w:fill="auto"/>
        <w:spacing w:before="0" w:after="0" w:line="240" w:lineRule="auto"/>
        <w:ind w:left="420" w:right="0" w:firstLine="20"/>
        <w:jc w:val="left"/>
        <w:rPr>
          <w:sz w:val="20"/>
        </w:rPr>
      </w:pPr>
      <w:r>
        <w:rPr>
          <w:rStyle w:val="CharStyle19"/>
          <w:rFonts w:ascii="Arial" w:hAnsi="Arial" w:cs="Arial" w:eastAsia="Arial"/>
          <w:sz w:val="20"/>
        </w:rPr>
        <w:t xml:space="preserve">J'espère qu'il n'y a pas de problèmes avec les e-mails qui m'ont été envoyés à mon adresse nih. Je les ai supprimés rapidement et j'espère ne pas répondre à tout (mon téléphone ne montre pas si les e-mails que je reçois sont à NIH ou gmail, mais quand il est de vous les gars, je suppose que c'est à gmail).</w:t>
      </w:r>
    </w:p>
    <w:p>
      <w:pPr>
        <w:widowControl w:val="0"/>
        <w:spacing w:line="1" w:lineRule="exact"/>
      </w:pPr>
      <w:r>
        <w:drawing>
          <wp:anchor distT="499110" distB="0" distL="0" distR="0" simplePos="0" relativeHeight="125829466" behindDoc="0" locked="0" layoutInCell="1" allowOverlap="1">
            <wp:simplePos x="0" y="0"/>
            <wp:positionH relativeFrom="page">
              <wp:posOffset>1239520</wp:posOffset>
            </wp:positionH>
            <wp:positionV relativeFrom="paragraph">
              <wp:posOffset>499110</wp:posOffset>
            </wp:positionV>
            <wp:extent cx="1390015" cy="1029970"/>
            <wp:wrapTopAndBottom/>
            <wp:docPr id="171" name="Forme 171"/>
            <a:graphic xmlns:a="http://schemas.openxmlformats.org/drawingml/2006/main">
              <a:graphicData uri="http://schemas.openxmlformats.org/drawingml/2006/picture">
                <pic:pic xmlns:pic="http://schemas.openxmlformats.org/drawingml/2006/picture">
                  <pic:nvPicPr>
                    <pic:cNvPr id="172" name="Boîte à images 172"/>
                    <pic:cNvPicPr/>
                  </pic:nvPicPr>
                  <pic:blipFill>
                    <a:blip r:embed="rId84"/>
                    <a:stretch/>
                  </pic:blipFill>
                  <pic:spPr>
                    <a:xfrm>
                      <a:ext cx="1390015" cy="1029970"/>
                    </a:xfrm>
                    <a:prstGeom prst="rect"/>
                  </pic:spPr>
                </pic:pic>
              </a:graphicData>
            </a:graphic>
          </wp:anchor>
        </w:drawing>
      </w:r>
      <w:r>
        <mc:AlternateContent>
          <mc:Choice Requires="wps">
            <w:drawing>
              <wp:anchor distT="0" distB="0" distL="0" distR="0" simplePos="0" relativeHeight="503316522" behindDoc="0" locked="0" layoutInCell="1" allowOverlap="1">
                <wp:simplePos x="0" y="0"/>
                <wp:positionH relativeFrom="page">
                  <wp:posOffset>1248410</wp:posOffset>
                </wp:positionH>
                <wp:positionV relativeFrom="paragraph">
                  <wp:posOffset>215900</wp:posOffset>
                </wp:positionV>
                <wp:extent cx="1151890" cy="289560"/>
                <wp:wrapNone/>
                <wp:docPr id="173" name="Forme 173"/>
                <a:graphic xmlns:a="http://schemas.openxmlformats.org/drawingml/2006/main">
                  <a:graphicData uri="http://schemas.microsoft.com/office/word/2010/wordprocessingShape">
                    <wps:wsp>
                      <wps:cNvSpPr txBox="1"/>
                      <wps:spPr>
                        <a:xfrm>
                          <a:ext cx="1151890" cy="289560"/>
                        </a:xfrm>
                        <a:prstGeom prst="rect"/>
                        <a:noFill/>
                      </wps:spPr>
                      <wps:txbx>
                        <w:txbxContent>
                          <w:p>
                            <w:pPr>
                              <w:pStyle w:val="Style27"/>
                              <w:keepNext w:val="0"/>
                              <w:keepLines w:val="0"/>
                              <w:widowControl w:val="0"/>
                              <w:shd w:val="clear" w:color="auto" w:fill="auto"/>
                              <w:spacing w:before="0" w:after="0" w:line="240" w:lineRule="auto"/>
                              <w:ind w:left="0" w:right="0" w:firstLine="0"/>
                              <w:jc w:val="left"/>
                              <w:rPr>
                                <w:sz w:val="20"/>
                              </w:rPr>
                            </w:pPr>
                            <w:r>
                              <w:rPr>
                                <w:rStyle w:val="CharStyle28"/>
                                <w:color w:val="303030"/>
                                <w:sz w:val="20"/>
                              </w:rPr>
                              <w:t>d</w:t>
                            </w:r>
                          </w:p>
                          <w:p>
                            <w:pPr>
                              <w:pStyle w:val="Style27"/>
                              <w:keepNext w:val="0"/>
                              <w:keepLines w:val="0"/>
                              <w:widowControl w:val="0"/>
                              <w:shd w:val="clear" w:color="auto" w:fill="auto"/>
                              <w:spacing w:before="0" w:after="0" w:line="240" w:lineRule="auto"/>
                              <w:ind w:left="0" w:right="0" w:firstLine="0"/>
                              <w:jc w:val="left"/>
                              <w:rPr>
                                <w:sz w:val="18"/>
                              </w:rPr>
                            </w:pPr>
                            <w:r>
                              <w:rPr>
                                <w:rStyle w:val="CharStyle28"/>
                                <w:rFonts w:ascii="Times New Roman" w:hAnsi="Times New Roman" w:cs="Times New Roman" w:eastAsia="Times New Roman"/>
                                <w:color w:val="303030"/>
                                <w:sz w:val="18"/>
                              </w:rPr>
                              <w:t xml:space="preserve">David M. Morens, M.D.</w:t>
                            </w:r>
                          </w:p>
                        </w:txbxContent>
                      </wps:txbx>
                      <wps:bodyPr lIns="0" tIns="0" rIns="0" bIns="0">
                        <a:noAutoFit/>
                      </wps:bodyPr>
                    </wps:wsp>
                  </a:graphicData>
                </a:graphic>
              </wp:anchor>
            </w:drawing>
          </mc:Choice>
        </mc:AlternateContent>
      </w:r>
    </w:p>
    <w:p>
      <w:pPr>
        <w:pStyle w:val="Style18"/>
        <w:keepNext w:val="0"/>
        <w:keepLines w:val="0"/>
        <w:widowControl w:val="0"/>
        <w:shd w:val="clear" w:color="auto" w:fill="auto"/>
        <w:spacing w:before="0" w:after="220" w:line="240" w:lineRule="auto"/>
        <w:ind w:left="440" w:right="0" w:firstLine="0"/>
        <w:jc w:val="left"/>
        <w:rPr>
          <w:sz w:val="19"/>
        </w:rPr>
      </w:pPr>
      <w:r>
        <w:rPr>
          <w:rStyle w:val="CharStyle19"/>
          <w:b/>
          <w:color w:val="B73C51"/>
          <w:sz w:val="19"/>
        </w:rPr>
        <w:t xml:space="preserve">IMPORTANT : Mon gmail envoie fréquemment des messages entrants à la corbeille, ce qui n'est apparemment pas correct. Si vous n'avez pas de nouvelles de moi dans un délai raisonnable, veuillez réessayer, appeler, nr utiliser mon adresse e-mail NIH</w:t>
      </w:r>
    </w:p>
    <w:p>
      <w:pPr>
        <w:pStyle w:val="Style18"/>
        <w:keepNext w:val="0"/>
        <w:keepLines w:val="0"/>
        <w:widowControl w:val="0"/>
        <w:shd w:val="clear" w:color="auto" w:fill="auto"/>
        <w:spacing w:before="0" w:after="760" w:line="240" w:lineRule="auto"/>
        <w:ind w:left="0" w:right="0" w:firstLine="440"/>
        <w:jc w:val="left"/>
        <w:rPr>
          <w:sz w:val="19"/>
        </w:rPr>
      </w:pPr>
      <w:r>
        <w:rPr>
          <w:rStyle w:val="CharStyle19"/>
          <w:b/>
          <w:color w:val="B73C51"/>
          <w:sz w:val="19"/>
        </w:rPr>
        <w:t xml:space="preserve">IMPORTANT : Pour les courriels liés au gouvernement des États-Unis, veuillez également répondre à mon adresse NIAID</w:t>
      </w:r>
    </w:p>
    <w:p>
      <w:pPr>
        <w:pStyle w:val="Style24"/>
        <w:keepNext w:val="0"/>
        <w:keepLines w:val="0"/>
        <w:widowControl w:val="0"/>
        <w:shd w:val="clear" w:color="auto" w:fill="auto"/>
        <w:spacing w:before="0" w:after="480" w:line="259" w:lineRule="auto"/>
        <w:ind w:left="0" w:right="0" w:firstLine="740"/>
        <w:jc w:val="left"/>
      </w:pPr>
      <w:r>
        <w:rPr>
          <w:rStyle w:val="CharStyle25"/>
        </w:rPr>
        <w:t xml:space="preserve">Le 5 octobre 2021, le Dr Morens a expliqué comment il avait supprimé un e-mail spécifique, qui contenait un langage qu'il ne voulait pas rendre public.</w:t>
        <w:footnoteReference w:id="381"/>
      </w:r>
    </w:p>
    <w:p>
      <w:pPr>
        <w:pStyle w:val="Style24"/>
        <w:keepNext w:val="0"/>
        <w:keepLines w:val="0"/>
        <w:widowControl w:val="0"/>
        <w:shd w:val="clear" w:color="auto" w:fill="auto"/>
        <w:spacing w:before="0" w:after="440" w:line="264" w:lineRule="auto"/>
        <w:ind w:left="0" w:right="0" w:firstLine="740"/>
        <w:jc w:val="left"/>
      </w:pPr>
      <w:r>
        <w:rPr>
          <w:rStyle w:val="CharStyle25"/>
        </w:rPr>
        <w:t xml:space="preserve">Le 24 février 2021, le Dr Morens a déclaré qu'il avait supprimé des courriels après les avoir envoyés à son Gmail.</w:t>
        <w:footnoteReference w:id="382"/>
      </w:r>
    </w:p>
    <w:p>
      <w:pPr>
        <w:pStyle w:val="Style36"/>
        <w:keepNext w:val="0"/>
        <w:keepLines w:val="0"/>
        <w:widowControl w:val="0"/>
        <w:shd w:val="clear" w:color="auto" w:fill="auto"/>
        <w:tabs>
          <w:tab w:pos="1868" w:val="left"/>
          <w:tab w:pos="5871" w:val="left"/>
        </w:tabs>
        <w:spacing w:before="0" w:after="360" w:line="276" w:lineRule="auto"/>
        <w:ind w:left="0" w:right="0" w:firstLine="380"/>
        <w:jc w:val="left"/>
      </w:pPr>
      <w:r>
        <w:rPr>
          <w:rStyle w:val="CharStyle37"/>
          <w:color w:val="303030"/>
        </w:rPr>
        <w:t xml:space="preserve">( tn est tombé M ?L)2 I,</w:t>
        <w:tab/>
        <w:t xml:space="preserve">~»:21 \\l</w:t>
      </w:r>
      <w:r>
        <w:rPr>
          <w:rStyle w:val="CharStyle37"/>
          <w:color w:val="303030"/>
          <w:vertAlign w:val="subscript"/>
        </w:rPr>
        <w:t>;</w:t>
      </w:r>
      <w:r>
        <w:rPr>
          <w:rStyle w:val="CharStyle37"/>
          <w:color w:val="303030"/>
        </w:rPr>
        <w:t xml:space="preserve"> Dcivid Morem</w:t>
        <w:tab/>
        <w:t xml:space="preserve">i nie-</w:t>
      </w:r>
    </w:p>
    <w:p>
      <w:pPr>
        <w:pStyle w:val="Style18"/>
        <w:keepNext w:val="0"/>
        <w:keepLines w:val="0"/>
        <w:widowControl w:val="0"/>
        <w:shd w:val="clear" w:color="auto" w:fill="auto"/>
        <w:spacing w:before="0" w:after="360" w:line="240" w:lineRule="auto"/>
        <w:ind w:left="380" w:right="0" w:firstLine="0"/>
        <w:jc w:val="left"/>
        <w:rPr>
          <w:sz w:val="18"/>
        </w:rPr>
      </w:pPr>
      <w:r>
        <w:rPr>
          <w:rStyle w:val="CharStyle19"/>
          <w:color w:val="464648"/>
          <w:sz w:val="18"/>
        </w:rPr>
        <w:t xml:space="preserve">Tu as raison, j'ai besoin </w:t>
      </w:r>
      <w:r>
        <w:rPr>
          <w:rStyle w:val="CharStyle19"/>
          <w:color w:val="656361"/>
          <w:sz w:val="18"/>
        </w:rPr>
        <w:t xml:space="preserve">d'être </w:t>
      </w:r>
      <w:r>
        <w:rPr>
          <w:rStyle w:val="CharStyle19"/>
          <w:color w:val="464648"/>
          <w:sz w:val="18"/>
        </w:rPr>
        <w:t xml:space="preserve">plus prudent. Cependant, </w:t>
      </w:r>
      <w:r>
        <w:rPr>
          <w:rStyle w:val="CharStyle19"/>
          <w:color w:val="656361"/>
          <w:sz w:val="18"/>
        </w:rPr>
        <w:t xml:space="preserve">comme je l’ai </w:t>
      </w:r>
      <w:r>
        <w:rPr>
          <w:rStyle w:val="CharStyle19"/>
          <w:color w:val="464648"/>
          <w:sz w:val="18"/>
        </w:rPr>
        <w:t xml:space="preserve">mentionné une fois auparavant, </w:t>
      </w:r>
      <w:r>
        <w:rPr>
          <w:rStyle w:val="CharStyle19"/>
          <w:color w:val="656361"/>
          <w:sz w:val="18"/>
        </w:rPr>
        <w:t xml:space="preserve">j’ai </w:t>
      </w:r>
      <w:r>
        <w:rPr>
          <w:rStyle w:val="CharStyle19"/>
          <w:color w:val="464648"/>
          <w:sz w:val="18"/>
        </w:rPr>
        <w:t xml:space="preserve">appris de notre dame foia ici présente à faire disparaître les courriels après que je sois loia’d, mais avant que la recherche ne commence, de sorte que ithmk porte </w:t>
      </w:r>
      <w:r>
        <w:rPr>
          <w:rStyle w:val="CharStyle19"/>
          <w:color w:val="656361"/>
          <w:sz w:val="18"/>
        </w:rPr>
        <w:t xml:space="preserve">tout </w:t>
      </w:r>
      <w:r>
        <w:rPr>
          <w:rStyle w:val="CharStyle19"/>
          <w:color w:val="464648"/>
          <w:sz w:val="18"/>
        </w:rPr>
        <w:t xml:space="preserve">en sécurité. De plus, </w:t>
      </w:r>
      <w:r>
        <w:rPr>
          <w:rStyle w:val="CharStyle19"/>
          <w:color w:val="656361"/>
          <w:sz w:val="18"/>
        </w:rPr>
        <w:t xml:space="preserve">j'ai </w:t>
      </w:r>
      <w:r>
        <w:rPr>
          <w:rStyle w:val="CharStyle19"/>
          <w:color w:val="464648"/>
          <w:sz w:val="18"/>
        </w:rPr>
        <w:t xml:space="preserve">supprimé </w:t>
      </w:r>
      <w:r>
        <w:rPr>
          <w:rStyle w:val="CharStyle19"/>
          <w:color w:val="303030"/>
          <w:sz w:val="18"/>
        </w:rPr>
        <w:t xml:space="preserve">la plupart de </w:t>
      </w:r>
      <w:r>
        <w:rPr>
          <w:rStyle w:val="CharStyle19"/>
          <w:color w:val="464648"/>
          <w:sz w:val="18"/>
        </w:rPr>
        <w:t xml:space="preserve">ces e-mails précédents après les avoir envoyés à gmail. </w:t>
      </w:r>
      <w:r>
        <w:rPr>
          <w:rStyle w:val="CharStyle19"/>
          <w:color w:val="303030"/>
          <w:sz w:val="18"/>
        </w:rPr>
        <w:t>D</w:t>
      </w:r>
    </w:p>
    <w:p>
      <w:pPr>
        <w:pStyle w:val="Style18"/>
        <w:keepNext w:val="0"/>
        <w:keepLines w:val="0"/>
        <w:widowControl w:val="0"/>
        <w:shd w:val="clear" w:color="auto" w:fill="auto"/>
        <w:spacing w:before="0" w:after="80" w:line="276" w:lineRule="auto"/>
        <w:ind w:left="0" w:right="0" w:firstLine="380"/>
        <w:jc w:val="left"/>
        <w:rPr>
          <w:sz w:val="16"/>
        </w:rPr>
      </w:pPr>
      <w:r>
        <w:rPr>
          <w:rStyle w:val="CharStyle19"/>
          <w:color w:val="464648"/>
          <w:sz w:val="16"/>
        </w:rPr>
        <w:t xml:space="preserve">Envoyé depuis </w:t>
      </w:r>
      <w:r>
        <w:rPr>
          <w:rStyle w:val="CharStyle19"/>
          <w:color w:val="656361"/>
          <w:sz w:val="16"/>
        </w:rPr>
        <w:t xml:space="preserve">mon </w:t>
      </w:r>
      <w:r>
        <w:rPr>
          <w:rStyle w:val="CharStyle19"/>
          <w:color w:val="464648"/>
          <w:sz w:val="16"/>
        </w:rPr>
        <w:t>iPhone</w:t>
      </w:r>
    </w:p>
    <w:p>
      <w:pPr>
        <w:pStyle w:val="Style18"/>
        <w:keepNext w:val="0"/>
        <w:keepLines w:val="0"/>
        <w:widowControl w:val="0"/>
        <w:shd w:val="clear" w:color="auto" w:fill="auto"/>
        <w:spacing w:before="0" w:after="80" w:line="240" w:lineRule="auto"/>
        <w:ind w:left="0" w:right="0" w:firstLine="380"/>
        <w:jc w:val="left"/>
        <w:rPr>
          <w:sz w:val="18"/>
        </w:rPr>
      </w:pPr>
      <w:r>
        <w:rPr>
          <w:rStyle w:val="CharStyle19"/>
          <w:color w:val="464648"/>
          <w:sz w:val="18"/>
        </w:rPr>
        <w:t xml:space="preserve">David </w:t>
      </w:r>
      <w:r>
        <w:rPr>
          <w:rStyle w:val="CharStyle19"/>
          <w:color w:val="303030"/>
          <w:sz w:val="18"/>
        </w:rPr>
        <w:t xml:space="preserve">M </w:t>
      </w:r>
      <w:r>
        <w:rPr>
          <w:rStyle w:val="CharStyle19"/>
          <w:color w:val="464648"/>
          <w:sz w:val="18"/>
        </w:rPr>
        <w:t xml:space="preserve">Morens (acteur)</w:t>
      </w:r>
    </w:p>
    <w:p>
      <w:pPr>
        <w:pStyle w:val="Style18"/>
        <w:keepNext w:val="0"/>
        <w:keepLines w:val="0"/>
        <w:widowControl w:val="0"/>
        <w:shd w:val="clear" w:color="auto" w:fill="auto"/>
        <w:spacing w:before="0" w:after="280" w:line="240" w:lineRule="auto"/>
        <w:ind w:left="0" w:right="0" w:firstLine="380"/>
        <w:jc w:val="left"/>
        <w:rPr>
          <w:sz w:val="18"/>
        </w:rPr>
      </w:pPr>
      <w:r>
        <w:rPr>
          <w:rStyle w:val="CharStyle19"/>
          <w:color w:val="464648"/>
          <w:sz w:val="18"/>
        </w:rPr>
        <w:t xml:space="preserve">OD.N1AID. </w:t>
      </w:r>
      <w:r>
        <w:rPr>
          <w:rStyle w:val="CharStyle19"/>
          <w:color w:val="303030"/>
          <w:sz w:val="18"/>
        </w:rPr>
        <w:t>NIH</w:t>
      </w:r>
    </w:p>
    <w:p>
      <w:pPr>
        <w:pStyle w:val="Style18"/>
        <w:keepNext w:val="0"/>
        <w:keepLines w:val="0"/>
        <w:widowControl w:val="0"/>
        <w:shd w:val="clear" w:color="auto" w:fill="auto"/>
        <w:spacing w:before="0" w:after="360" w:line="240" w:lineRule="auto"/>
        <w:ind w:left="0" w:right="0" w:firstLine="880"/>
        <w:jc w:val="left"/>
        <w:rPr>
          <w:sz w:val="18"/>
        </w:rPr>
      </w:pPr>
      <w:r>
        <w:rPr>
          <w:rStyle w:val="CharStyle19"/>
          <w:color w:val="464648"/>
          <w:sz w:val="18"/>
        </w:rPr>
        <w:t xml:space="preserve">Le </w:t>
      </w:r>
      <w:r>
        <w:rPr>
          <w:rStyle w:val="CharStyle19"/>
          <w:color w:val="656361"/>
          <w:sz w:val="18"/>
        </w:rPr>
        <w:t xml:space="preserve">23 février 2021, à 21:53, Keusch, GeraldT</w:t>
      </w:r>
      <w:r>
        <w:rPr>
          <w:rStyle w:val="CharStyle19"/>
          <w:sz w:val="18"/>
        </w:rPr>
        <w:t xml:space="preserve">II </w:t>
      </w:r>
      <w:r>
        <w:rPr>
          <w:rStyle w:val="CharStyle19"/>
          <w:color w:val="464648"/>
          <w:sz w:val="18"/>
        </w:rPr>
        <w:t xml:space="preserve">a écrit:</w:t>
      </w:r>
    </w:p>
    <w:p>
      <w:pPr>
        <w:pStyle w:val="Style18"/>
        <w:keepNext w:val="0"/>
        <w:keepLines w:val="0"/>
        <w:widowControl w:val="0"/>
        <w:shd w:val="clear" w:color="auto" w:fill="auto"/>
        <w:spacing w:before="0" w:after="360" w:line="276" w:lineRule="auto"/>
        <w:ind w:left="880" w:right="0" w:firstLine="20"/>
        <w:jc w:val="left"/>
        <w:rPr>
          <w:sz w:val="16"/>
        </w:rPr>
      </w:pPr>
      <w:r>
        <w:rPr>
          <w:rStyle w:val="CharStyle19"/>
          <w:color w:val="464648"/>
          <w:sz w:val="16"/>
        </w:rPr>
        <w:t xml:space="preserve">Nous avons besoin </w:t>
      </w:r>
      <w:r>
        <w:rPr>
          <w:rStyle w:val="CharStyle19"/>
          <w:color w:val="656361"/>
          <w:sz w:val="16"/>
        </w:rPr>
        <w:t xml:space="preserve">de vous </w:t>
      </w:r>
      <w:r>
        <w:rPr>
          <w:rStyle w:val="CharStyle19"/>
          <w:color w:val="464648"/>
          <w:sz w:val="16"/>
        </w:rPr>
        <w:t xml:space="preserve">vivant et bien, alors faites </w:t>
      </w:r>
      <w:r>
        <w:rPr>
          <w:rStyle w:val="CharStyle19"/>
          <w:color w:val="656361"/>
          <w:sz w:val="16"/>
        </w:rPr>
        <w:t xml:space="preserve">attention </w:t>
      </w:r>
      <w:r>
        <w:rPr>
          <w:rStyle w:val="CharStyle19"/>
          <w:color w:val="464648"/>
          <w:sz w:val="16"/>
        </w:rPr>
        <w:t xml:space="preserve">à l'adresse e-mail </w:t>
      </w:r>
      <w:r>
        <w:rPr>
          <w:rStyle w:val="CharStyle19"/>
          <w:color w:val="656361"/>
          <w:sz w:val="16"/>
        </w:rPr>
        <w:t xml:space="preserve">que vous </w:t>
      </w:r>
      <w:r>
        <w:rPr>
          <w:rStyle w:val="CharStyle19"/>
          <w:color w:val="464648"/>
          <w:sz w:val="16"/>
        </w:rPr>
        <w:t xml:space="preserve">utilisez. Si vous obtenez FOIA'ed et devez répondre, </w:t>
      </w:r>
      <w:r>
        <w:rPr>
          <w:rStyle w:val="CharStyle19"/>
          <w:color w:val="656361"/>
          <w:sz w:val="16"/>
        </w:rPr>
        <w:t xml:space="preserve">il aura </w:t>
      </w:r>
      <w:r>
        <w:rPr>
          <w:rStyle w:val="CharStyle19"/>
          <w:color w:val="464648"/>
          <w:sz w:val="16"/>
        </w:rPr>
        <w:t xml:space="preserve">Peter et, de </w:t>
      </w:r>
      <w:r>
        <w:rPr>
          <w:rStyle w:val="CharStyle19"/>
          <w:color w:val="656361"/>
          <w:sz w:val="16"/>
        </w:rPr>
        <w:t xml:space="preserve">moindre importance, </w:t>
      </w:r>
      <w:r>
        <w:rPr>
          <w:rStyle w:val="CharStyle19"/>
          <w:color w:val="464648"/>
          <w:sz w:val="16"/>
        </w:rPr>
        <w:t xml:space="preserve">moi sur la correspondance. Moins nous fournissons à l'ennemi, mieux c'est.</w:t>
      </w:r>
    </w:p>
    <w:p>
      <w:pPr>
        <w:pStyle w:val="Style18"/>
        <w:keepNext w:val="0"/>
        <w:keepLines w:val="0"/>
        <w:widowControl w:val="0"/>
        <w:shd w:val="clear" w:color="auto" w:fill="auto"/>
        <w:spacing w:before="0" w:after="360" w:line="240" w:lineRule="auto"/>
        <w:ind w:left="880" w:right="0" w:firstLine="20"/>
        <w:jc w:val="left"/>
        <w:rPr>
          <w:sz w:val="18"/>
        </w:rPr>
      </w:pPr>
      <w:r>
        <w:rPr>
          <w:rStyle w:val="CharStyle19"/>
          <w:color w:val="464648"/>
          <w:sz w:val="18"/>
        </w:rPr>
        <w:t xml:space="preserve">Cela dit, merci d'avoir planté </w:t>
      </w:r>
      <w:r>
        <w:rPr>
          <w:rStyle w:val="CharStyle19"/>
          <w:color w:val="303030"/>
          <w:sz w:val="18"/>
        </w:rPr>
        <w:t xml:space="preserve">la </w:t>
      </w:r>
      <w:r>
        <w:rPr>
          <w:rStyle w:val="CharStyle19"/>
          <w:color w:val="464648"/>
          <w:sz w:val="18"/>
        </w:rPr>
        <w:t xml:space="preserve">graine pour </w:t>
      </w:r>
      <w:r>
        <w:rPr>
          <w:rStyle w:val="CharStyle19"/>
          <w:color w:val="656361"/>
          <w:sz w:val="18"/>
        </w:rPr>
        <w:t xml:space="preserve">cette conversation. </w:t>
      </w:r>
      <w:r>
        <w:rPr>
          <w:rStyle w:val="CharStyle19"/>
          <w:color w:val="464648"/>
          <w:sz w:val="18"/>
        </w:rPr>
        <w:t xml:space="preserve"> Cela fournira à Tony des idées </w:t>
      </w:r>
      <w:r>
        <w:rPr>
          <w:rStyle w:val="CharStyle19"/>
          <w:color w:val="303030"/>
          <w:sz w:val="18"/>
        </w:rPr>
        <w:t xml:space="preserve">et </w:t>
      </w:r>
      <w:r>
        <w:rPr>
          <w:rStyle w:val="CharStyle19"/>
          <w:color w:val="656361"/>
          <w:sz w:val="18"/>
        </w:rPr>
        <w:t xml:space="preserve">ce </w:t>
      </w:r>
      <w:r>
        <w:rPr>
          <w:rStyle w:val="CharStyle19"/>
          <w:color w:val="464648"/>
          <w:sz w:val="18"/>
        </w:rPr>
        <w:t xml:space="preserve">sera Peter qui les fournira - soulignant à quel point lui, Peter, est incroyablement connecté (et important). </w:t>
      </w:r>
      <w:r>
        <w:rPr>
          <w:rStyle w:val="CharStyle19"/>
          <w:color w:val="656361"/>
          <w:sz w:val="18"/>
        </w:rPr>
        <w:t xml:space="preserve">Tony aussi.</w:t>
      </w:r>
    </w:p>
    <w:p>
      <w:pPr>
        <w:pStyle w:val="Style18"/>
        <w:keepNext w:val="0"/>
        <w:keepLines w:val="0"/>
        <w:widowControl w:val="0"/>
        <w:shd w:val="clear" w:color="auto" w:fill="auto"/>
        <w:spacing w:before="0" w:after="640" w:line="240" w:lineRule="auto"/>
        <w:ind w:left="0" w:right="0" w:firstLine="880"/>
        <w:jc w:val="left"/>
        <w:rPr>
          <w:sz w:val="18"/>
        </w:rPr>
      </w:pPr>
      <w:r>
        <w:rPr>
          <w:rStyle w:val="CharStyle19"/>
          <w:color w:val="464648"/>
          <w:sz w:val="18"/>
        </w:rPr>
        <w:t>Jerry</w:t>
      </w:r>
    </w:p>
    <w:p>
      <w:pPr>
        <w:pStyle w:val="Style18"/>
        <w:keepNext w:val="0"/>
        <w:keepLines w:val="0"/>
        <w:widowControl w:val="0"/>
        <w:shd w:val="clear" w:color="auto" w:fill="auto"/>
        <w:spacing w:before="0" w:after="80" w:line="240" w:lineRule="auto"/>
        <w:ind w:left="0" w:right="0" w:firstLine="880"/>
        <w:jc w:val="left"/>
        <w:rPr>
          <w:sz w:val="18"/>
        </w:rPr>
      </w:pPr>
      <w:r>
        <w:rPr>
          <w:rStyle w:val="CharStyle19"/>
          <w:color w:val="464648"/>
          <w:sz w:val="18"/>
        </w:rPr>
        <w:t xml:space="preserve">Gerald T. Keusch, docteur en médecine</w:t>
      </w:r>
    </w:p>
    <w:p>
      <w:pPr>
        <w:pStyle w:val="Style18"/>
        <w:keepNext w:val="0"/>
        <w:keepLines w:val="0"/>
        <w:widowControl w:val="0"/>
        <w:shd w:val="clear" w:color="auto" w:fill="auto"/>
        <w:spacing w:before="0" w:after="80" w:line="240" w:lineRule="auto"/>
        <w:ind w:left="0" w:right="0" w:firstLine="880"/>
        <w:jc w:val="left"/>
        <w:rPr>
          <w:sz w:val="18"/>
        </w:rPr>
      </w:pPr>
      <w:r>
        <w:rPr>
          <w:rStyle w:val="CharStyle19"/>
          <w:color w:val="303030"/>
          <w:sz w:val="18"/>
        </w:rPr>
        <w:t xml:space="preserve">Pro </w:t>
      </w:r>
      <w:r>
        <w:rPr>
          <w:rStyle w:val="CharStyle19"/>
          <w:color w:val="656361"/>
          <w:sz w:val="18"/>
        </w:rPr>
        <w:t xml:space="preserve">f </w:t>
      </w:r>
      <w:r>
        <w:rPr>
          <w:rStyle w:val="CharStyle19"/>
          <w:color w:val="464648"/>
          <w:sz w:val="18"/>
        </w:rPr>
        <w:t xml:space="preserve">essor o </w:t>
      </w:r>
      <w:r>
        <w:rPr>
          <w:rStyle w:val="CharStyle19"/>
          <w:color w:val="656361"/>
          <w:sz w:val="18"/>
        </w:rPr>
        <w:t xml:space="preserve">f </w:t>
      </w:r>
      <w:r>
        <w:rPr>
          <w:rStyle w:val="CharStyle19"/>
          <w:color w:val="464648"/>
          <w:sz w:val="18"/>
        </w:rPr>
        <w:t xml:space="preserve">Med </w:t>
      </w:r>
      <w:r>
        <w:rPr>
          <w:rStyle w:val="CharStyle19"/>
          <w:color w:val="656361"/>
          <w:sz w:val="18"/>
        </w:rPr>
        <w:t xml:space="preserve">i </w:t>
      </w:r>
      <w:r>
        <w:rPr>
          <w:rStyle w:val="CharStyle19"/>
          <w:color w:val="464648"/>
          <w:sz w:val="18"/>
        </w:rPr>
        <w:t xml:space="preserve">c i n e</w:t>
      </w:r>
    </w:p>
    <w:p>
      <w:pPr>
        <w:pStyle w:val="Style18"/>
        <w:keepNext w:val="0"/>
        <w:keepLines w:val="0"/>
        <w:widowControl w:val="0"/>
        <w:shd w:val="clear" w:color="auto" w:fill="auto"/>
        <w:spacing w:before="0" w:after="80" w:line="276" w:lineRule="auto"/>
        <w:ind w:left="0" w:right="0" w:firstLine="880"/>
        <w:jc w:val="left"/>
        <w:rPr>
          <w:sz w:val="16"/>
        </w:rPr>
      </w:pPr>
      <w:r>
        <w:rPr>
          <w:rStyle w:val="CharStyle19"/>
          <w:color w:val="464648"/>
          <w:sz w:val="16"/>
        </w:rPr>
        <w:t xml:space="preserve">Directeur associé</w:t>
      </w:r>
    </w:p>
    <w:p>
      <w:pPr>
        <w:pStyle w:val="Style18"/>
        <w:keepNext w:val="0"/>
        <w:keepLines w:val="0"/>
        <w:widowControl w:val="0"/>
        <w:shd w:val="clear" w:color="auto" w:fill="auto"/>
        <w:spacing w:before="0" w:after="80" w:line="240" w:lineRule="auto"/>
        <w:ind w:left="0" w:right="0" w:firstLine="880"/>
        <w:jc w:val="left"/>
        <w:rPr>
          <w:sz w:val="18"/>
        </w:rPr>
      </w:pPr>
      <w:r>
        <w:rPr>
          <w:rStyle w:val="CharStyle19"/>
          <w:color w:val="464648"/>
          <w:sz w:val="18"/>
        </w:rPr>
        <w:t xml:space="preserve">Laboratoire national des </w:t>
      </w:r>
      <w:r>
        <w:rPr>
          <w:rStyle w:val="CharStyle19"/>
          <w:color w:val="656361"/>
          <w:sz w:val="18"/>
        </w:rPr>
        <w:t xml:space="preserve">maladies infectieuses </w:t>
      </w:r>
      <w:r>
        <w:rPr>
          <w:rStyle w:val="CharStyle19"/>
          <w:color w:val="464648"/>
          <w:sz w:val="18"/>
        </w:rPr>
        <w:t>émergentes</w:t>
      </w:r>
    </w:p>
    <w:p>
      <w:pPr>
        <w:pStyle w:val="Style18"/>
        <w:keepNext w:val="0"/>
        <w:keepLines w:val="0"/>
        <w:widowControl w:val="0"/>
        <w:shd w:val="clear" w:color="auto" w:fill="auto"/>
        <w:spacing w:before="0" w:after="440" w:line="240" w:lineRule="auto"/>
        <w:ind w:left="0" w:right="0" w:firstLine="880"/>
        <w:jc w:val="left"/>
        <w:rPr>
          <w:sz w:val="18"/>
        </w:rPr>
      </w:pPr>
      <w:r>
        <w:rPr>
          <w:rStyle w:val="CharStyle19"/>
          <w:color w:val="464648"/>
          <w:sz w:val="18"/>
        </w:rPr>
        <w:t xml:space="preserve">Université de Boston, Boston </w:t>
      </w:r>
      <w:r>
        <w:rPr>
          <w:rStyle w:val="CharStyle19"/>
          <w:color w:val="303030"/>
          <w:sz w:val="18"/>
        </w:rPr>
        <w:t xml:space="preserve">MA </w:t>
      </w:r>
      <w:r>
        <w:rPr>
          <w:rStyle w:val="CharStyle19"/>
          <w:color w:val="464648"/>
          <w:sz w:val="18"/>
        </w:rPr>
        <w:t>02113</w:t>
      </w:r>
    </w:p>
    <w:p>
      <w:pPr>
        <w:pStyle w:val="Style24"/>
        <w:keepNext w:val="0"/>
        <w:keepLines w:val="0"/>
        <w:widowControl w:val="0"/>
        <w:shd w:val="clear" w:color="auto" w:fill="auto"/>
        <w:spacing w:before="0" w:after="1080" w:line="264" w:lineRule="auto"/>
        <w:ind w:left="0" w:right="0" w:firstLine="740"/>
        <w:jc w:val="left"/>
      </w:pPr>
      <w:r>
        <w:rPr>
          <w:rStyle w:val="CharStyle25"/>
        </w:rPr>
        <w:t xml:space="preserve">Le 10 septembre 2021, le Dr Morens a déclaré qu’il supprimait des courriels spécifiques qu’il ne «voulait pas voir dans le New York Times».</w:t>
        <w:footnoteReference w:id="383"/>
      </w:r>
    </w:p>
    <w:p>
      <w:pPr>
        <w:pStyle w:val="Style24"/>
        <w:keepNext w:val="0"/>
        <w:keepLines w:val="0"/>
        <w:widowControl w:val="0"/>
        <w:shd w:val="clear" w:color="auto" w:fill="auto"/>
        <w:spacing w:before="0" w:after="360" w:line="240" w:lineRule="auto"/>
        <w:ind w:left="0" w:right="0" w:firstLine="0"/>
        <w:jc w:val="center"/>
      </w:pPr>
      <w:r>
        <w:rPr>
          <w:rStyle w:val="CharStyle25"/>
        </w:rPr>
        <w:t xml:space="preserve">[REMAINDER OF PAGE INTENTIONALLY BLANK]</w:t>
      </w:r>
    </w:p>
    <w:p>
      <w:pPr>
        <w:widowControl w:val="0"/>
        <w:jc w:val="center"/>
        <w:rPr>
          <w:sz w:val="2"/>
        </w:rPr>
      </w:pPr>
      <w:r>
        <w:drawing>
          <wp:inline>
            <wp:extent cx="5321935" cy="792480"/>
            <wp:docPr id="175" name="Picutre 175"/>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6"/>
                    <a:stretch/>
                  </pic:blipFill>
                  <pic:spPr>
                    <a:xfrm>
                      <a:ext cx="5321935" cy="792480"/>
                    </a:xfrm>
                    <a:prstGeom prst="rect"/>
                  </pic:spPr>
                </pic:pic>
              </a:graphicData>
            </a:graphic>
          </wp:inline>
        </w:drawing>
      </w:r>
    </w:p>
    <w:p>
      <w:pPr>
        <w:pStyle w:val="Style27"/>
        <w:keepNext w:val="0"/>
        <w:keepLines w:val="0"/>
        <w:widowControl w:val="0"/>
        <w:shd w:val="clear" w:color="auto" w:fill="auto"/>
        <w:spacing w:before="0" w:after="0" w:line="240" w:lineRule="auto"/>
        <w:ind w:left="0" w:right="0" w:firstLine="0"/>
        <w:jc w:val="left"/>
        <w:rPr>
          <w:sz w:val="16"/>
        </w:rPr>
      </w:pPr>
      <w:r>
        <w:rPr>
          <w:rStyle w:val="CharStyle28"/>
          <w:color w:val="464648"/>
          <w:sz w:val="16"/>
        </w:rPr>
        <w:t xml:space="preserve">objet : Il : Voici la dernière ligne ou attaque aujourd'hui...</w:t>
      </w:r>
    </w:p>
    <w:p>
      <w:pPr>
        <w:widowControl w:val="0"/>
        <w:spacing w:after="639" w:line="1" w:lineRule="exact"/>
      </w:pPr>
    </w:p>
    <w:p>
      <w:pPr>
        <w:pStyle w:val="Style18"/>
        <w:keepNext w:val="0"/>
        <w:keepLines w:val="0"/>
        <w:widowControl w:val="0"/>
        <w:shd w:val="clear" w:color="auto" w:fill="auto"/>
        <w:spacing w:before="0" w:after="180" w:line="240" w:lineRule="auto"/>
        <w:ind w:left="0" w:right="0" w:firstLine="680"/>
        <w:jc w:val="left"/>
        <w:rPr>
          <w:sz w:val="15"/>
        </w:rPr>
      </w:pPr>
      <w:r>
        <w:rPr>
          <w:rStyle w:val="CharStyle19"/>
          <w:color w:val="656361"/>
          <w:sz w:val="15"/>
        </w:rPr>
        <w:t xml:space="preserve">Peter </w:t>
      </w:r>
      <w:r>
        <w:rPr>
          <w:rStyle w:val="CharStyle19"/>
          <w:color w:val="464648"/>
          <w:sz w:val="15"/>
        </w:rPr>
        <w:t xml:space="preserve">et ses collègues.</w:t>
      </w:r>
    </w:p>
    <w:p>
      <w:pPr>
        <w:pStyle w:val="Style18"/>
        <w:keepNext w:val="0"/>
        <w:keepLines w:val="0"/>
        <w:widowControl w:val="0"/>
        <w:shd w:val="clear" w:color="auto" w:fill="auto"/>
        <w:spacing w:before="0" w:after="180" w:line="240" w:lineRule="auto"/>
        <w:ind w:left="0" w:right="0" w:firstLine="680"/>
        <w:jc w:val="left"/>
        <w:rPr>
          <w:sz w:val="15"/>
        </w:rPr>
      </w:pPr>
      <w:r>
        <w:rPr>
          <w:rStyle w:val="CharStyle19"/>
          <w:color w:val="464648"/>
          <w:sz w:val="15"/>
        </w:rPr>
        <w:t xml:space="preserve">Comme vous le savez, </w:t>
      </w:r>
      <w:r>
        <w:rPr>
          <w:rStyle w:val="CharStyle19"/>
          <w:color w:val="303030"/>
          <w:sz w:val="15"/>
        </w:rPr>
        <w:t xml:space="preserve">1 essayer </w:t>
      </w:r>
      <w:r>
        <w:rPr>
          <w:rStyle w:val="CharStyle19"/>
          <w:color w:val="464648"/>
          <w:sz w:val="15"/>
        </w:rPr>
        <w:t xml:space="preserve">de toujours communiquer </w:t>
      </w:r>
      <w:r>
        <w:rPr>
          <w:rStyle w:val="CharStyle19"/>
          <w:color w:val="303030"/>
          <w:sz w:val="15"/>
        </w:rPr>
        <w:t xml:space="preserve">sur gmail </w:t>
      </w:r>
      <w:r>
        <w:rPr>
          <w:rStyle w:val="CharStyle19"/>
          <w:color w:val="464648"/>
          <w:sz w:val="15"/>
        </w:rPr>
        <w:t xml:space="preserve">parce que mon e-mail N1H </w:t>
      </w:r>
      <w:r>
        <w:rPr>
          <w:rStyle w:val="CharStyle19"/>
          <w:color w:val="656361"/>
          <w:sz w:val="15"/>
        </w:rPr>
        <w:t xml:space="preserve">est </w:t>
      </w:r>
      <w:r>
        <w:rPr>
          <w:rStyle w:val="CharStyle19"/>
          <w:color w:val="464648"/>
          <w:sz w:val="15"/>
        </w:rPr>
        <w:t xml:space="preserve">FOIA'd constamment.</w:t>
      </w:r>
    </w:p>
    <w:p>
      <w:pPr>
        <w:pStyle w:val="Style18"/>
        <w:keepNext w:val="0"/>
        <w:keepLines w:val="0"/>
        <w:widowControl w:val="0"/>
        <w:shd w:val="clear" w:color="auto" w:fill="auto"/>
        <w:spacing w:before="0" w:after="180" w:line="240" w:lineRule="auto"/>
        <w:ind w:left="680" w:right="0" w:firstLine="20"/>
        <w:jc w:val="left"/>
        <w:rPr>
          <w:sz w:val="15"/>
        </w:rPr>
      </w:pPr>
      <w:r>
        <w:rPr>
          <w:rStyle w:val="CharStyle19"/>
          <w:color w:val="464648"/>
          <w:sz w:val="15"/>
        </w:rPr>
        <w:t xml:space="preserve">Hier, </w:t>
      </w:r>
      <w:r>
        <w:rPr>
          <w:rStyle w:val="CharStyle19"/>
          <w:color w:val="656361"/>
          <w:sz w:val="15"/>
        </w:rPr>
        <w:t xml:space="preserve">mon </w:t>
      </w:r>
      <w:r>
        <w:rPr>
          <w:rStyle w:val="CharStyle19"/>
          <w:color w:val="464648"/>
          <w:sz w:val="15"/>
        </w:rPr>
        <w:t xml:space="preserve">gmati </w:t>
      </w:r>
      <w:r>
        <w:rPr>
          <w:rStyle w:val="CharStyle19"/>
          <w:color w:val="303030"/>
          <w:sz w:val="15"/>
        </w:rPr>
        <w:t xml:space="preserve">a été </w:t>
      </w:r>
      <w:r>
        <w:rPr>
          <w:rStyle w:val="CharStyle19"/>
          <w:color w:val="656361"/>
          <w:sz w:val="15"/>
        </w:rPr>
        <w:t xml:space="preserve">piraté, </w:t>
      </w:r>
      <w:r>
        <w:rPr>
          <w:rStyle w:val="CharStyle19"/>
          <w:color w:val="464648"/>
          <w:sz w:val="15"/>
        </w:rPr>
        <w:t xml:space="preserve">probablement </w:t>
      </w:r>
      <w:r>
        <w:rPr>
          <w:rStyle w:val="CharStyle19"/>
          <w:color w:val="656361"/>
          <w:sz w:val="15"/>
        </w:rPr>
        <w:t xml:space="preserve">par </w:t>
      </w:r>
      <w:r>
        <w:rPr>
          <w:rStyle w:val="CharStyle19"/>
          <w:color w:val="464648"/>
          <w:sz w:val="15"/>
        </w:rPr>
        <w:t xml:space="preserve">ces connards du GoF, </w:t>
      </w:r>
      <w:r>
        <w:rPr>
          <w:rStyle w:val="CharStyle19"/>
          <w:color w:val="656361"/>
          <w:sz w:val="15"/>
        </w:rPr>
        <w:t xml:space="preserve">et </w:t>
      </w:r>
      <w:r>
        <w:rPr>
          <w:rStyle w:val="CharStyle19"/>
          <w:color w:val="464648"/>
          <w:sz w:val="15"/>
        </w:rPr>
        <w:t xml:space="preserve">jusqu'à ce que le service informatique </w:t>
      </w:r>
      <w:r>
        <w:rPr>
          <w:rStyle w:val="CharStyle19"/>
          <w:color w:val="656361"/>
          <w:sz w:val="15"/>
        </w:rPr>
        <w:t xml:space="preserve">puisse </w:t>
      </w:r>
      <w:r>
        <w:rPr>
          <w:rStyle w:val="CharStyle19"/>
          <w:color w:val="464648"/>
          <w:sz w:val="15"/>
        </w:rPr>
        <w:t xml:space="preserve">le réparer, </w:t>
      </w:r>
      <w:r>
        <w:rPr>
          <w:rStyle w:val="CharStyle19"/>
          <w:color w:val="656361"/>
          <w:sz w:val="15"/>
        </w:rPr>
        <w:t xml:space="preserve">il se peut que je doive parfois </w:t>
      </w:r>
      <w:r>
        <w:rPr>
          <w:rStyle w:val="CharStyle19"/>
          <w:color w:val="464648"/>
          <w:sz w:val="15"/>
        </w:rPr>
        <w:t xml:space="preserve">envoyer </w:t>
      </w:r>
      <w:r>
        <w:rPr>
          <w:rStyle w:val="CharStyle19"/>
          <w:color w:val="656361"/>
          <w:sz w:val="15"/>
        </w:rPr>
        <w:t xml:space="preserve">un e-mail à partir de mon </w:t>
      </w:r>
      <w:r>
        <w:rPr>
          <w:rStyle w:val="CharStyle19"/>
          <w:color w:val="464648"/>
          <w:sz w:val="15"/>
        </w:rPr>
        <w:t>compte</w:t>
      </w:r>
      <w:r>
        <w:rPr>
          <w:rStyle w:val="CharStyle19"/>
          <w:color w:val="303030"/>
          <w:sz w:val="15"/>
        </w:rPr>
        <w:t xml:space="preserve">NIH. </w:t>
      </w:r>
    </w:p>
    <w:p>
      <w:pPr>
        <w:pStyle w:val="Style18"/>
        <w:keepNext w:val="0"/>
        <w:keepLines w:val="0"/>
        <w:widowControl w:val="0"/>
        <w:shd w:val="clear" w:color="auto" w:fill="auto"/>
        <w:spacing w:before="0" w:after="180" w:line="240" w:lineRule="auto"/>
        <w:ind w:left="0" w:right="0" w:firstLine="680"/>
        <w:jc w:val="left"/>
        <w:rPr>
          <w:sz w:val="15"/>
        </w:rPr>
      </w:pPr>
      <w:r>
        <w:rPr>
          <w:rStyle w:val="CharStyle19"/>
          <w:color w:val="656361"/>
          <w:sz w:val="15"/>
        </w:rPr>
        <w:t xml:space="preserve">Il </w:t>
      </w:r>
      <w:r>
        <w:rPr>
          <w:rStyle w:val="CharStyle19"/>
          <w:color w:val="464648"/>
          <w:sz w:val="15"/>
        </w:rPr>
        <w:t xml:space="preserve">a passé </w:t>
      </w:r>
      <w:r>
        <w:rPr>
          <w:rStyle w:val="CharStyle19"/>
          <w:color w:val="303030"/>
          <w:sz w:val="15"/>
        </w:rPr>
        <w:t xml:space="preserve">quelques </w:t>
      </w:r>
      <w:r>
        <w:rPr>
          <w:rStyle w:val="CharStyle19"/>
          <w:color w:val="656361"/>
          <w:sz w:val="15"/>
        </w:rPr>
        <w:t xml:space="preserve"> </w:t>
      </w:r>
      <w:r>
        <w:rPr>
          <w:rStyle w:val="CharStyle19"/>
          <w:color w:val="464648"/>
          <w:sz w:val="15"/>
        </w:rPr>
        <w:t xml:space="preserve">heures aujourd'hui mais n'a pas pu le réparer. </w:t>
      </w:r>
    </w:p>
    <w:p>
      <w:pPr>
        <w:pStyle w:val="Style18"/>
        <w:keepNext w:val="0"/>
        <w:keepLines w:val="0"/>
        <w:widowControl w:val="0"/>
        <w:shd w:val="clear" w:color="auto" w:fill="auto"/>
        <w:spacing w:before="0" w:after="180" w:line="240" w:lineRule="auto"/>
        <w:ind w:left="0" w:right="0" w:firstLine="680"/>
        <w:jc w:val="left"/>
        <w:rPr>
          <w:sz w:val="15"/>
        </w:rPr>
      </w:pPr>
      <w:r>
        <w:rPr>
          <w:rStyle w:val="CharStyle19"/>
          <w:color w:val="464648"/>
          <w:sz w:val="15"/>
        </w:rPr>
        <w:t xml:space="preserve">Les trucs envoyés </w:t>
      </w:r>
      <w:r>
        <w:rPr>
          <w:rStyle w:val="CharStyle19"/>
          <w:color w:val="656361"/>
          <w:sz w:val="15"/>
        </w:rPr>
        <w:t xml:space="preserve">à </w:t>
      </w:r>
      <w:r>
        <w:rPr>
          <w:rStyle w:val="CharStyle19"/>
          <w:color w:val="464648"/>
          <w:sz w:val="15"/>
        </w:rPr>
        <w:t xml:space="preserve">mon gmail arrivent, </w:t>
      </w:r>
      <w:r>
        <w:rPr>
          <w:rStyle w:val="CharStyle19"/>
          <w:color w:val="656361"/>
          <w:sz w:val="15"/>
        </w:rPr>
        <w:t xml:space="preserve">à mon </w:t>
      </w:r>
      <w:r>
        <w:rPr>
          <w:rStyle w:val="CharStyle19"/>
          <w:color w:val="464648"/>
          <w:sz w:val="15"/>
        </w:rPr>
        <w:t xml:space="preserve">téléphone, mais pas à n'importe quel ordinateur NIH.</w:t>
      </w:r>
    </w:p>
    <w:p>
      <w:pPr>
        <w:pStyle w:val="Style18"/>
        <w:keepNext w:val="0"/>
        <w:keepLines w:val="0"/>
        <w:widowControl w:val="0"/>
        <w:shd w:val="clear" w:color="auto" w:fill="auto"/>
        <w:spacing w:before="0" w:after="180" w:line="240" w:lineRule="auto"/>
        <w:ind w:left="0" w:right="0" w:firstLine="680"/>
        <w:jc w:val="left"/>
        <w:rPr>
          <w:sz w:val="15"/>
        </w:rPr>
      </w:pPr>
      <w:r>
        <w:rPr>
          <w:rStyle w:val="CharStyle19"/>
          <w:color w:val="464648"/>
          <w:sz w:val="15"/>
        </w:rPr>
        <w:t xml:space="preserve">Ne vous inquiétez pas, il suffit </w:t>
      </w:r>
      <w:r>
        <w:rPr>
          <w:rStyle w:val="CharStyle19"/>
          <w:color w:val="656361"/>
          <w:sz w:val="15"/>
        </w:rPr>
        <w:t xml:space="preserve">d’envoyer io l’une de </w:t>
      </w:r>
      <w:r>
        <w:rPr>
          <w:rStyle w:val="CharStyle19"/>
          <w:color w:val="464648"/>
          <w:sz w:val="15"/>
        </w:rPr>
        <w:t xml:space="preserve">mes adresses </w:t>
      </w:r>
      <w:r>
        <w:rPr>
          <w:rStyle w:val="CharStyle19"/>
          <w:color w:val="656361"/>
          <w:sz w:val="15"/>
        </w:rPr>
        <w:t xml:space="preserve">et </w:t>
      </w:r>
      <w:r>
        <w:rPr>
          <w:rStyle w:val="CharStyle19"/>
          <w:color w:val="303030"/>
          <w:sz w:val="15"/>
        </w:rPr>
        <w:t xml:space="preserve">1 </w:t>
      </w:r>
      <w:r>
        <w:rPr>
          <w:rStyle w:val="CharStyle19"/>
          <w:color w:val="464648"/>
          <w:sz w:val="15"/>
        </w:rPr>
        <w:t xml:space="preserve">supprimera tout ce que </w:t>
      </w:r>
      <w:r>
        <w:rPr>
          <w:rStyle w:val="CharStyle19"/>
          <w:color w:val="303030"/>
          <w:sz w:val="15"/>
        </w:rPr>
        <w:t xml:space="preserve">je </w:t>
      </w:r>
      <w:r>
        <w:rPr>
          <w:rStyle w:val="CharStyle19"/>
          <w:color w:val="464648"/>
          <w:sz w:val="15"/>
        </w:rPr>
        <w:t xml:space="preserve">ne veux pas voir </w:t>
      </w:r>
      <w:r>
        <w:rPr>
          <w:rStyle w:val="CharStyle19"/>
          <w:color w:val="656361"/>
          <w:sz w:val="15"/>
        </w:rPr>
        <w:t xml:space="preserve">dans </w:t>
      </w:r>
      <w:r>
        <w:rPr>
          <w:rStyle w:val="CharStyle19"/>
          <w:color w:val="464648"/>
          <w:sz w:val="15"/>
        </w:rPr>
        <w:t xml:space="preserve">les New York Tinies.</w:t>
      </w:r>
    </w:p>
    <w:p>
      <w:pPr>
        <w:pStyle w:val="Style27"/>
        <w:keepNext w:val="0"/>
        <w:keepLines w:val="0"/>
        <w:widowControl w:val="0"/>
        <w:shd w:val="clear" w:color="auto" w:fill="auto"/>
        <w:spacing w:before="0" w:after="0" w:line="240" w:lineRule="auto"/>
        <w:ind w:left="19" w:right="0" w:firstLine="0"/>
        <w:jc w:val="left"/>
        <w:rPr>
          <w:sz w:val="15"/>
        </w:rPr>
      </w:pPr>
      <w:r>
        <w:rPr>
          <w:rStyle w:val="CharStyle28"/>
          <w:rFonts w:ascii="Times New Roman" w:hAnsi="Times New Roman" w:cs="Times New Roman" w:eastAsia="Times New Roman"/>
          <w:color w:val="464648"/>
          <w:sz w:val="15"/>
        </w:rPr>
        <w:t>d</w:t>
      </w:r>
    </w:p>
    <w:p>
      <w:pPr>
        <w:pStyle w:val="Style27"/>
        <w:keepNext w:val="0"/>
        <w:keepLines w:val="0"/>
        <w:widowControl w:val="0"/>
        <w:shd w:val="clear" w:color="auto" w:fill="auto"/>
        <w:spacing w:before="0" w:after="0" w:line="264" w:lineRule="auto"/>
        <w:ind w:left="19" w:right="0" w:firstLine="0"/>
        <w:jc w:val="left"/>
        <w:rPr>
          <w:sz w:val="14"/>
        </w:rPr>
      </w:pPr>
      <w:r>
        <w:rPr>
          <w:rStyle w:val="CharStyle28"/>
          <w:color w:val="303030"/>
          <w:sz w:val="14"/>
        </w:rPr>
        <w:t xml:space="preserve">David </w:t>
      </w:r>
      <w:r>
        <w:rPr>
          <w:rStyle w:val="CharStyle28"/>
          <w:color w:val="464648"/>
          <w:sz w:val="14"/>
        </w:rPr>
        <w:t xml:space="preserve">M. Morens. </w:t>
      </w:r>
      <w:r>
        <w:rPr>
          <w:rStyle w:val="CharStyle28"/>
          <w:color w:val="303030"/>
          <w:sz w:val="14"/>
        </w:rPr>
        <w:t>MD</w:t>
      </w:r>
    </w:p>
    <w:p>
      <w:pPr>
        <w:widowControl w:val="0"/>
        <w:jc w:val="center"/>
        <w:rPr>
          <w:sz w:val="2"/>
        </w:rPr>
      </w:pPr>
      <w:r>
        <w:drawing>
          <wp:inline>
            <wp:extent cx="1316990" cy="847090"/>
            <wp:docPr id="176" name="Picutre 176"/>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88"/>
                    <a:stretch/>
                  </pic:blipFill>
                  <pic:spPr>
                    <a:xfrm>
                      <a:ext cx="1316990" cy="847090"/>
                    </a:xfrm>
                    <a:prstGeom prst="rect"/>
                  </pic:spPr>
                </pic:pic>
              </a:graphicData>
            </a:graphic>
          </wp:inline>
        </w:drawing>
      </w:r>
    </w:p>
    <w:p>
      <w:pPr>
        <w:widowControl w:val="0"/>
        <w:spacing w:after="119" w:line="1" w:lineRule="exact"/>
      </w:pPr>
    </w:p>
    <w:p>
      <w:pPr>
        <w:pStyle w:val="Style36"/>
        <w:keepNext w:val="0"/>
        <w:keepLines w:val="0"/>
        <w:widowControl w:val="0"/>
        <w:shd w:val="clear" w:color="auto" w:fill="auto"/>
        <w:spacing w:before="0" w:after="180" w:line="226" w:lineRule="auto"/>
        <w:ind w:left="680" w:right="0" w:firstLine="20"/>
        <w:jc w:val="left"/>
      </w:pPr>
      <w:r>
        <w:rPr>
          <w:rStyle w:val="CharStyle37"/>
        </w:rPr>
        <w:t xml:space="preserve">IMPORTANT : Mon gmail envoie fréquemment des messages entrants à la corbeille, ce qui n'est apparemment pas correct. Si vous n'avez pas de nouvelles de moi dans un délai raisonnable, veuillez réessayer, appeler ou utiliser mon adresse e-mail NIH</w:t>
      </w:r>
    </w:p>
    <w:p>
      <w:pPr>
        <w:pStyle w:val="Style36"/>
        <w:keepNext w:val="0"/>
        <w:keepLines w:val="0"/>
        <w:widowControl w:val="0"/>
        <w:shd w:val="clear" w:color="auto" w:fill="auto"/>
        <w:spacing w:before="0" w:after="400" w:line="226" w:lineRule="auto"/>
        <w:ind w:left="0" w:right="0" w:firstLine="680"/>
        <w:jc w:val="left"/>
      </w:pPr>
      <w:r>
        <w:rPr>
          <w:rStyle w:val="CharStyle37"/>
        </w:rPr>
        <w:t xml:space="preserve">IMPORTANT : Pour les e-mails liés au gouvernement américain, veuillez également répondre à mon adresse N1A1D</w:t>
      </w:r>
    </w:p>
    <w:p>
      <w:pPr>
        <w:pStyle w:val="Style24"/>
        <w:keepNext w:val="0"/>
        <w:keepLines w:val="0"/>
        <w:widowControl w:val="0"/>
        <w:shd w:val="clear" w:color="auto" w:fill="auto"/>
        <w:spacing w:before="0" w:after="1080"/>
        <w:ind w:left="0" w:right="0" w:firstLine="700"/>
        <w:jc w:val="left"/>
      </w:pPr>
      <w:r>
        <w:rPr>
          <w:rStyle w:val="CharStyle25"/>
        </w:rPr>
        <w:t xml:space="preserve">Le 28 juin 2021, le Dr Morens a déclaré que ce courriel était en quelque sorte entre les mains du membre du Congrès, probablement par l’intermédiaire de la FOIA de quelqu’un qui ne l’avait pas supprimé, comme je l’ai fait (supprimer tous les courriels du [Dr Daszak] et d’autres concernant l’origine de la [COVID-19] [...]».</w:t>
        <w:footnoteReference w:id="384"/>
        <w:t xml:space="preserve"> Le Dr Morens a ensuite proclamé que «[l]e meilleur moyen d’éviter les tracas de la FOIA est de supprimer tous les courriels lorsque vous apprenez qu’un sujet devient sensible [...]».</w:t>
        <w:footnoteReference w:id="385"/>
      </w:r>
    </w:p>
    <w:p>
      <w:pPr>
        <w:pStyle w:val="Style24"/>
        <w:keepNext w:val="0"/>
        <w:keepLines w:val="0"/>
        <w:widowControl w:val="0"/>
        <w:shd w:val="clear" w:color="auto" w:fill="auto"/>
        <w:spacing w:before="0" w:after="180" w:line="240" w:lineRule="auto"/>
        <w:ind w:left="0" w:right="0" w:firstLine="0"/>
        <w:jc w:val="center"/>
      </w:pPr>
      <w:r>
        <w:rPr>
          <w:rStyle w:val="CharStyle25"/>
        </w:rPr>
        <w:t xml:space="preserve">[REMAINDER OF PAGE INTENTIONALLY BLANK]</w:t>
      </w:r>
    </w:p>
    <w:p>
      <w:pPr>
        <w:pStyle w:val="Style18"/>
        <w:keepNext w:val="0"/>
        <w:keepLines w:val="0"/>
        <w:widowControl w:val="0"/>
        <w:shd w:val="clear" w:color="auto" w:fill="auto"/>
        <w:spacing w:before="0" w:after="820" w:line="240" w:lineRule="auto"/>
        <w:ind w:left="0" w:right="0" w:firstLine="480"/>
        <w:jc w:val="left"/>
        <w:rPr>
          <w:sz w:val="18"/>
        </w:rPr>
      </w:pPr>
      <w:r>
        <w:rPr>
          <w:rStyle w:val="CharStyle19"/>
          <w:color w:val="303030"/>
          <w:sz w:val="18"/>
        </w:rPr>
        <w:t xml:space="preserve">Le 22 juin 2221 à 4 10 ?M Moren, Davin MIH 2MAID </w:t>
      </w:r>
      <w:r>
        <w:rPr>
          <w:rStyle w:val="CharStyle19"/>
          <w:sz w:val="18"/>
        </w:rPr>
        <w:t xml:space="preserve">OrlH H 0 jmaii </w:t>
      </w:r>
      <w:r>
        <w:rPr>
          <w:rStyle w:val="CharStyle19"/>
          <w:color w:val="303030"/>
          <w:sz w:val="18"/>
        </w:rPr>
        <w:t xml:space="preserve">ruin wiare</w:t>
      </w:r>
    </w:p>
    <w:p>
      <w:pPr>
        <w:pStyle w:val="Style18"/>
        <w:keepNext w:val="0"/>
        <w:keepLines w:val="0"/>
        <w:widowControl w:val="0"/>
        <w:shd w:val="clear" w:color="auto" w:fill="auto"/>
        <w:spacing w:before="0" w:after="420" w:line="254" w:lineRule="auto"/>
        <w:ind w:left="480" w:right="0" w:firstLine="0"/>
        <w:jc w:val="left"/>
        <w:rPr>
          <w:sz w:val="17"/>
        </w:rPr>
      </w:pPr>
      <w:r>
        <w:rPr>
          <w:rStyle w:val="CharStyle19"/>
          <w:color w:val="303030"/>
          <w:sz w:val="17"/>
        </w:rPr>
        <w:t xml:space="preserve">Désolé! Le 18 avril </w:t>
      </w:r>
      <w:r>
        <w:rPr>
          <w:rStyle w:val="CharStyle19"/>
          <w:color w:val="2B6160"/>
          <w:sz w:val="17"/>
        </w:rPr>
        <w:t xml:space="preserve">2020. </w:t>
      </w:r>
      <w:r>
        <w:rPr>
          <w:rStyle w:val="CharStyle19"/>
          <w:color w:val="303030"/>
          <w:sz w:val="17"/>
        </w:rPr>
        <w:t xml:space="preserve">Peter Daszak m'a envoyé un courriel à </w:t>
      </w:r>
      <w:r>
        <w:rPr>
          <w:rStyle w:val="CharStyle19"/>
          <w:color w:val="2B6160"/>
          <w:sz w:val="17"/>
        </w:rPr>
        <w:t xml:space="preserve">Tony et moi, félicitant </w:t>
      </w:r>
      <w:r>
        <w:rPr>
          <w:rStyle w:val="CharStyle19"/>
          <w:color w:val="303030"/>
          <w:sz w:val="17"/>
        </w:rPr>
        <w:t xml:space="preserve">Tony d'avoir défendu la science. Ce courriel est en quelque sorte tombé entre les mains du député, probablement par l’intermédiaire </w:t>
      </w:r>
      <w:r>
        <w:rPr>
          <w:rStyle w:val="CharStyle19"/>
          <w:color w:val="2B6160"/>
          <w:sz w:val="17"/>
        </w:rPr>
        <w:t xml:space="preserve">d’une </w:t>
      </w:r>
      <w:r>
        <w:rPr>
          <w:rStyle w:val="CharStyle19"/>
          <w:color w:val="303030"/>
          <w:sz w:val="17"/>
        </w:rPr>
        <w:t xml:space="preserve">FOIA de quelqu’un qui ne l’a pas supprimé, comme </w:t>
      </w:r>
      <w:r>
        <w:rPr>
          <w:rStyle w:val="CharStyle19"/>
          <w:color w:val="2B6160"/>
          <w:sz w:val="17"/>
        </w:rPr>
        <w:t xml:space="preserve">je l’ai </w:t>
      </w:r>
      <w:r>
        <w:rPr>
          <w:rStyle w:val="CharStyle19"/>
          <w:color w:val="303030"/>
          <w:sz w:val="17"/>
        </w:rPr>
        <w:t xml:space="preserve">fait (supprimer tous les courriels de Peter et d’autres concernant l’origine) lorsque la merde</w:t>
      </w:r>
    </w:p>
    <w:p>
      <w:pPr>
        <w:pStyle w:val="Style18"/>
        <w:keepNext w:val="0"/>
        <w:keepLines w:val="0"/>
        <w:widowControl w:val="0"/>
        <w:shd w:val="clear" w:color="auto" w:fill="auto"/>
        <w:spacing w:before="0" w:after="1000" w:line="240" w:lineRule="auto"/>
        <w:ind w:left="0" w:right="420" w:firstLine="0"/>
        <w:jc w:val="right"/>
      </w:pPr>
      <w:r>
        <w:rPr>
          <w:rStyle w:val="CharStyle19"/>
          <w:rFonts w:ascii="Arial" w:hAnsi="Arial" w:cs="Arial" w:eastAsia="Arial"/>
        </w:rPr>
        <w:t>BU</w:t>
      </w:r>
      <w:r>
        <w:rPr>
          <w:rStyle w:val="CharStyle19"/>
          <w:rFonts w:ascii="Arial" w:hAnsi="Arial" w:cs="Arial" w:eastAsia="Arial"/>
          <w:color w:val="303030"/>
        </w:rPr>
        <w:t>04541</w:t>
      </w:r>
    </w:p>
    <w:p>
      <w:pPr>
        <w:pStyle w:val="Style18"/>
        <w:keepNext w:val="0"/>
        <w:keepLines w:val="0"/>
        <w:widowControl w:val="0"/>
        <w:shd w:val="clear" w:color="auto" w:fill="auto"/>
        <w:spacing w:before="0" w:after="360" w:line="240" w:lineRule="auto"/>
        <w:ind w:left="0" w:right="0" w:firstLine="0"/>
        <w:jc w:val="center"/>
      </w:pPr>
      <w:r>
        <w:rPr>
          <w:rStyle w:val="CharStyle19"/>
          <w:rFonts w:ascii="Arial" w:hAnsi="Arial" w:cs="Arial" w:eastAsia="Arial"/>
        </w:rPr>
        <w:t xml:space="preserve">TRAITEMENT CONFIDENTIEL DE L'UNIVERSITÉ DE BOSTON DEMANDÉ</w:t>
      </w:r>
    </w:p>
    <w:p>
      <w:pPr>
        <w:pStyle w:val="Style18"/>
        <w:keepNext w:val="0"/>
        <w:keepLines w:val="0"/>
        <w:widowControl w:val="0"/>
        <w:shd w:val="clear" w:color="auto" w:fill="auto"/>
        <w:spacing w:before="0" w:after="200" w:line="266" w:lineRule="auto"/>
        <w:ind w:left="0" w:right="0" w:firstLine="480"/>
        <w:jc w:val="left"/>
        <w:rPr>
          <w:sz w:val="17"/>
        </w:rPr>
      </w:pPr>
      <w:r>
        <w:rPr>
          <w:rStyle w:val="CharStyle19"/>
          <w:color w:val="303030"/>
          <w:sz w:val="17"/>
        </w:rPr>
        <w:t xml:space="preserve">J'ai commencé à frapper le ventilateur.</w:t>
      </w:r>
    </w:p>
    <w:p>
      <w:pPr>
        <w:pStyle w:val="Style18"/>
        <w:keepNext w:val="0"/>
        <w:keepLines w:val="0"/>
        <w:widowControl w:val="0"/>
        <w:shd w:val="clear" w:color="auto" w:fill="auto"/>
        <w:spacing w:before="0" w:after="1660" w:line="266" w:lineRule="auto"/>
        <w:ind w:left="480" w:right="0" w:firstLine="0"/>
        <w:jc w:val="left"/>
        <w:rPr>
          <w:sz w:val="17"/>
        </w:rPr>
      </w:pPr>
      <w:r>
        <w:rPr>
          <w:rStyle w:val="CharStyle19"/>
          <w:color w:val="303030"/>
          <w:sz w:val="17"/>
        </w:rPr>
        <w:t xml:space="preserve">Quoi qu'il en soit, le membre du Congrès </w:t>
      </w:r>
      <w:r>
        <w:rPr>
          <w:rStyle w:val="CharStyle19"/>
          <w:color w:val="464648"/>
          <w:sz w:val="17"/>
        </w:rPr>
        <w:t xml:space="preserve">a reçu </w:t>
      </w:r>
      <w:r>
        <w:rPr>
          <w:rStyle w:val="CharStyle19"/>
          <w:color w:val="656361"/>
          <w:sz w:val="17"/>
        </w:rPr>
        <w:t xml:space="preserve">une </w:t>
      </w:r>
      <w:r>
        <w:rPr>
          <w:rStyle w:val="CharStyle19"/>
          <w:color w:val="464648"/>
          <w:sz w:val="17"/>
        </w:rPr>
        <w:t xml:space="preserve">copie </w:t>
      </w:r>
      <w:r>
        <w:rPr>
          <w:rStyle w:val="CharStyle19"/>
          <w:color w:val="303030"/>
          <w:sz w:val="17"/>
        </w:rPr>
        <w:t xml:space="preserve">de l'e-mail de Peter D de quelqu'un du </w:t>
      </w:r>
      <w:r>
        <w:rPr>
          <w:rStyle w:val="CharStyle19"/>
          <w:color w:val="464648"/>
          <w:sz w:val="17"/>
        </w:rPr>
        <w:t xml:space="preserve">NIH. et </w:t>
      </w:r>
      <w:r>
        <w:rPr>
          <w:rStyle w:val="CharStyle19"/>
          <w:color w:val="303030"/>
          <w:sz w:val="17"/>
        </w:rPr>
        <w:t xml:space="preserve">il </w:t>
      </w:r>
      <w:r>
        <w:rPr>
          <w:rStyle w:val="CharStyle19"/>
          <w:color w:val="464648"/>
          <w:sz w:val="17"/>
        </w:rPr>
        <w:t xml:space="preserve">veut maintenant obtenir </w:t>
      </w:r>
      <w:r>
        <w:rPr>
          <w:rStyle w:val="CharStyle19"/>
          <w:color w:val="303030"/>
          <w:sz w:val="17"/>
        </w:rPr>
        <w:t xml:space="preserve">une réponse que Tony et moi ou quelqu'un d'autre avons peut-être </w:t>
      </w:r>
      <w:r>
        <w:rPr>
          <w:rStyle w:val="CharStyle19"/>
          <w:color w:val="464648"/>
          <w:sz w:val="17"/>
        </w:rPr>
        <w:t xml:space="preserve">renvoyée à </w:t>
      </w:r>
      <w:r>
        <w:rPr>
          <w:rStyle w:val="CharStyle19"/>
          <w:color w:val="303030"/>
          <w:sz w:val="17"/>
        </w:rPr>
        <w:t xml:space="preserve">Peter. Le mien </w:t>
      </w:r>
      <w:r>
        <w:rPr>
          <w:rStyle w:val="CharStyle19"/>
          <w:color w:val="464648"/>
          <w:sz w:val="17"/>
        </w:rPr>
        <w:t xml:space="preserve">a été </w:t>
      </w:r>
      <w:r>
        <w:rPr>
          <w:rStyle w:val="CharStyle19"/>
          <w:color w:val="303030"/>
          <w:sz w:val="17"/>
        </w:rPr>
        <w:t xml:space="preserve">effacé il y a longtemps </w:t>
      </w:r>
      <w:r>
        <w:rPr>
          <w:rStyle w:val="CharStyle19"/>
          <w:color w:val="656361"/>
          <w:sz w:val="17"/>
        </w:rPr>
        <w:t>(j'ai</w:t>
      </w:r>
      <w:r>
        <w:rPr>
          <w:rStyle w:val="CharStyle19"/>
          <w:color w:val="303030"/>
          <w:sz w:val="17"/>
        </w:rPr>
        <w:t xml:space="preserve">vérifié cela </w:t>
      </w:r>
      <w:r>
        <w:rPr>
          <w:rStyle w:val="CharStyle19"/>
          <w:color w:val="464648"/>
          <w:sz w:val="17"/>
        </w:rPr>
        <w:t xml:space="preserve">aujourd'hui) et </w:t>
      </w:r>
      <w:r>
        <w:rPr>
          <w:rStyle w:val="CharStyle19"/>
          <w:color w:val="303030"/>
          <w:sz w:val="17"/>
        </w:rPr>
        <w:t xml:space="preserve">je suis presque </w:t>
      </w:r>
      <w:r>
        <w:rPr>
          <w:rStyle w:val="CharStyle19"/>
          <w:color w:val="464648"/>
          <w:sz w:val="17"/>
        </w:rPr>
        <w:t xml:space="preserve">sûr que </w:t>
      </w:r>
      <w:r>
        <w:rPr>
          <w:rStyle w:val="CharStyle19"/>
          <w:color w:val="303030"/>
          <w:sz w:val="17"/>
        </w:rPr>
        <w:t xml:space="preserve">celui de Tony l'était </w:t>
      </w:r>
      <w:r>
        <w:rPr>
          <w:rStyle w:val="CharStyle19"/>
          <w:color w:val="464648"/>
          <w:sz w:val="17"/>
        </w:rPr>
        <w:t xml:space="preserve">aussi. </w:t>
      </w:r>
      <w:r>
        <w:rPr>
          <w:rStyle w:val="CharStyle19"/>
          <w:color w:val="303030"/>
          <w:sz w:val="17"/>
        </w:rPr>
        <w:t xml:space="preserve">La meilleure </w:t>
      </w:r>
      <w:r>
        <w:rPr>
          <w:rStyle w:val="CharStyle19"/>
          <w:color w:val="464648"/>
          <w:sz w:val="17"/>
        </w:rPr>
        <w:t xml:space="preserve">façon </w:t>
      </w:r>
      <w:r>
        <w:rPr>
          <w:rStyle w:val="CharStyle19"/>
          <w:color w:val="303030"/>
          <w:sz w:val="17"/>
        </w:rPr>
        <w:t xml:space="preserve">d'éviter les </w:t>
      </w:r>
      <w:r>
        <w:rPr>
          <w:rStyle w:val="CharStyle19"/>
          <w:color w:val="464648"/>
          <w:sz w:val="17"/>
        </w:rPr>
        <w:t xml:space="preserve">tracas FOIA est </w:t>
      </w:r>
      <w:r>
        <w:rPr>
          <w:rStyle w:val="CharStyle19"/>
          <w:color w:val="303030"/>
          <w:sz w:val="17"/>
        </w:rPr>
        <w:t xml:space="preserve">de supprimer tous les e-mails </w:t>
      </w:r>
      <w:r>
        <w:rPr>
          <w:rStyle w:val="CharStyle19"/>
          <w:color w:val="464648"/>
          <w:sz w:val="17"/>
        </w:rPr>
        <w:t xml:space="preserve">lorsque vous </w:t>
      </w:r>
      <w:r>
        <w:rPr>
          <w:rStyle w:val="CharStyle19"/>
          <w:color w:val="303030"/>
          <w:sz w:val="17"/>
        </w:rPr>
        <w:t xml:space="preserve">lisez </w:t>
      </w:r>
      <w:r>
        <w:rPr>
          <w:rStyle w:val="CharStyle19"/>
          <w:color w:val="464648"/>
          <w:sz w:val="17"/>
        </w:rPr>
        <w:t xml:space="preserve">un sujet devient </w:t>
      </w:r>
      <w:r>
        <w:rPr>
          <w:rStyle w:val="CharStyle19"/>
          <w:color w:val="303030"/>
          <w:sz w:val="17"/>
        </w:rPr>
        <w:t xml:space="preserve">sensible... Dans </w:t>
      </w:r>
      <w:r>
        <w:rPr>
          <w:rStyle w:val="CharStyle19"/>
          <w:color w:val="464648"/>
          <w:sz w:val="17"/>
        </w:rPr>
        <w:t xml:space="preserve">tous </w:t>
      </w:r>
      <w:r>
        <w:rPr>
          <w:rStyle w:val="CharStyle19"/>
          <w:color w:val="303030"/>
          <w:sz w:val="17"/>
        </w:rPr>
        <w:t xml:space="preserve">les cas, il </w:t>
      </w:r>
      <w:r>
        <w:rPr>
          <w:rStyle w:val="CharStyle19"/>
          <w:color w:val="464648"/>
          <w:sz w:val="17"/>
        </w:rPr>
        <w:t xml:space="preserve">y </w:t>
      </w:r>
      <w:r>
        <w:rPr>
          <w:rStyle w:val="CharStyle19"/>
          <w:color w:val="303030"/>
          <w:sz w:val="17"/>
        </w:rPr>
        <w:t xml:space="preserve">a le nord ici, sauf </w:t>
      </w:r>
      <w:r>
        <w:rPr>
          <w:rStyle w:val="CharStyle19"/>
          <w:color w:val="464648"/>
          <w:sz w:val="17"/>
        </w:rPr>
        <w:t xml:space="preserve">les occasions de </w:t>
      </w:r>
      <w:r>
        <w:rPr>
          <w:rStyle w:val="CharStyle19"/>
          <w:color w:val="303030"/>
          <w:sz w:val="17"/>
        </w:rPr>
        <w:t xml:space="preserve">tracas, </w:t>
      </w:r>
      <w:r>
        <w:rPr>
          <w:rStyle w:val="CharStyle19"/>
          <w:color w:val="464648"/>
          <w:sz w:val="17"/>
        </w:rPr>
        <w:t xml:space="preserve">harrass. et </w:t>
      </w:r>
      <w:r>
        <w:rPr>
          <w:rStyle w:val="CharStyle19"/>
          <w:color w:val="303030"/>
          <w:sz w:val="17"/>
        </w:rPr>
        <w:t xml:space="preserve">huff and puff. </w:t>
      </w:r>
      <w:r>
        <w:rPr>
          <w:rStyle w:val="CharStyle19"/>
          <w:color w:val="656361"/>
          <w:sz w:val="17"/>
        </w:rPr>
        <w:t>..</w:t>
      </w:r>
    </w:p>
    <w:p>
      <w:pPr>
        <w:pStyle w:val="Style24"/>
        <w:keepNext w:val="0"/>
        <w:keepLines w:val="0"/>
        <w:widowControl w:val="0"/>
        <w:shd w:val="clear" w:color="auto" w:fill="auto"/>
        <w:spacing w:before="0" w:after="1360"/>
        <w:ind w:left="0" w:right="0" w:firstLine="740"/>
        <w:jc w:val="left"/>
      </w:pPr>
      <w:r>
        <w:rPr>
          <w:rStyle w:val="CharStyle25"/>
        </w:rPr>
        <w:t xml:space="preserve">Le 16 juin 2022, le Dr Morens a déploré les «vieux jours» de la conduite des FOIA, en indiquant comment ils devaient être effectués à la main.</w:t>
        <w:footnoteReference w:id="386"/>
        <w:t xml:space="preserve"> Il a déclaré que «nous sommes tous assez intelligents pour savoir que nous n’avons jamais d’armes à feu fumantes, et si nous le faisions, nous ne les mettrions pas dans des courriels et si nous les trouvions, nous les supprimions».</w:t>
        <w:footnoteReference w:id="387"/>
      </w:r>
    </w:p>
    <w:p>
      <w:pPr>
        <w:pStyle w:val="Style24"/>
        <w:keepNext w:val="0"/>
        <w:keepLines w:val="0"/>
        <w:widowControl w:val="0"/>
        <w:shd w:val="clear" w:color="auto" w:fill="auto"/>
        <w:spacing w:before="0" w:after="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pStyle w:val="Style27"/>
        <w:keepNext w:val="0"/>
        <w:keepLines w:val="0"/>
        <w:widowControl w:val="0"/>
        <w:shd w:val="clear" w:color="auto" w:fill="auto"/>
        <w:tabs>
          <w:tab w:pos="730" w:val="left"/>
        </w:tabs>
        <w:spacing w:before="0" w:after="60" w:line="240" w:lineRule="auto"/>
        <w:ind w:left="38" w:right="0" w:firstLine="0"/>
        <w:jc w:val="left"/>
        <w:rPr>
          <w:sz w:val="16"/>
        </w:rPr>
      </w:pPr>
      <w:r>
        <w:rPr>
          <w:rStyle w:val="CharStyle28"/>
          <w:color w:val="303030"/>
          <w:sz w:val="16"/>
        </w:rPr>
        <w:t xml:space="preserve">Date :</w:t>
        <w:tab/>
      </w:r>
      <w:r>
        <w:rPr>
          <w:rStyle w:val="CharStyle28"/>
          <w:color w:val="464648"/>
          <w:sz w:val="16"/>
        </w:rPr>
        <w:t xml:space="preserve">Mar, 16 Juin 2020 14:22:55 -0400</w:t>
      </w:r>
    </w:p>
    <w:p>
      <w:pPr>
        <w:pStyle w:val="Style27"/>
        <w:keepNext w:val="0"/>
        <w:keepLines w:val="0"/>
        <w:widowControl w:val="0"/>
        <w:shd w:val="clear" w:color="auto" w:fill="auto"/>
        <w:tabs>
          <w:tab w:pos="730" w:val="left"/>
        </w:tabs>
        <w:spacing w:before="0" w:after="0" w:line="240" w:lineRule="auto"/>
        <w:ind w:left="38" w:right="0" w:firstLine="0"/>
        <w:jc w:val="left"/>
        <w:rPr>
          <w:sz w:val="16"/>
        </w:rPr>
      </w:pPr>
      <w:r>
        <w:rPr>
          <w:rStyle w:val="CharStyle28"/>
          <w:color w:val="303030"/>
          <w:sz w:val="16"/>
        </w:rPr>
        <w:t>Envoyé:</w:t>
        <w:tab/>
      </w:r>
      <w:r>
        <w:rPr>
          <w:rStyle w:val="CharStyle28"/>
          <w:color w:val="464648"/>
          <w:sz w:val="16"/>
        </w:rPr>
        <w:t xml:space="preserve">Mar, 16 Juin </w:t>
      </w:r>
      <w:r>
        <w:rPr>
          <w:rStyle w:val="CharStyle28"/>
          <w:color w:val="303030"/>
          <w:sz w:val="16"/>
        </w:rPr>
        <w:t xml:space="preserve">2020 14:22:54 </w:t>
      </w:r>
      <w:r>
        <w:rPr>
          <w:rStyle w:val="CharStyle28"/>
          <w:color w:val="464648"/>
          <w:sz w:val="16"/>
        </w:rPr>
        <w:t>-0400</w:t>
      </w:r>
    </w:p>
    <w:p>
      <w:pPr>
        <w:pStyle w:val="Style27"/>
        <w:keepNext w:val="0"/>
        <w:keepLines w:val="0"/>
        <w:widowControl w:val="0"/>
        <w:shd w:val="clear" w:color="auto" w:fill="auto"/>
        <w:spacing w:before="0" w:after="0" w:line="240" w:lineRule="auto"/>
        <w:ind w:left="34" w:right="0" w:firstLine="0"/>
        <w:jc w:val="left"/>
        <w:rPr>
          <w:sz w:val="16"/>
        </w:rPr>
      </w:pPr>
      <w:r>
        <w:rPr>
          <w:rStyle w:val="CharStyle28"/>
          <w:color w:val="303030"/>
          <w:sz w:val="16"/>
        </w:rPr>
        <w:t xml:space="preserve">Objet: </w:t>
      </w:r>
      <w:r>
        <w:rPr>
          <w:rStyle w:val="CharStyle28"/>
          <w:color w:val="464648"/>
          <w:sz w:val="16"/>
        </w:rPr>
        <w:t xml:space="preserve">En ce qui concerne: Deux journalistes pourraient </w:t>
      </w:r>
      <w:r>
        <w:rPr>
          <w:rStyle w:val="CharStyle28"/>
          <w:color w:val="303030"/>
          <w:sz w:val="16"/>
        </w:rPr>
        <w:t xml:space="preserve">vous contacter </w:t>
      </w:r>
      <w:r>
        <w:rPr>
          <w:rStyle w:val="CharStyle28"/>
          <w:color w:val="464648"/>
          <w:sz w:val="16"/>
        </w:rPr>
        <w:t xml:space="preserve">dans les prochaines </w:t>
      </w:r>
      <w:r>
        <w:rPr>
          <w:rStyle w:val="CharStyle28"/>
          <w:color w:val="303030"/>
          <w:sz w:val="16"/>
        </w:rPr>
        <w:t xml:space="preserve"> </w:t>
      </w:r>
      <w:r>
        <w:rPr>
          <w:rStyle w:val="CharStyle28"/>
          <w:color w:val="464648"/>
          <w:sz w:val="16"/>
        </w:rPr>
        <w:t>semaines.</w:t>
      </w:r>
    </w:p>
    <w:p>
      <w:pPr>
        <w:widowControl w:val="0"/>
        <w:jc w:val="center"/>
        <w:rPr>
          <w:sz w:val="2"/>
        </w:rPr>
      </w:pPr>
      <w:r>
        <w:drawing>
          <wp:inline>
            <wp:extent cx="5614670" cy="621665"/>
            <wp:docPr id="177" name="Picutre 177"/>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90"/>
                    <a:stretch/>
                  </pic:blipFill>
                  <pic:spPr>
                    <a:xfrm>
                      <a:ext cx="5614670" cy="621665"/>
                    </a:xfrm>
                    <a:prstGeom prst="rect"/>
                  </pic:spPr>
                </pic:pic>
              </a:graphicData>
            </a:graphic>
          </wp:inline>
        </w:drawing>
      </w:r>
    </w:p>
    <w:p>
      <w:pPr>
        <w:pStyle w:val="Style27"/>
        <w:keepNext w:val="0"/>
        <w:keepLines w:val="0"/>
        <w:widowControl w:val="0"/>
        <w:shd w:val="clear" w:color="auto" w:fill="auto"/>
        <w:spacing w:before="0" w:after="0" w:line="257" w:lineRule="auto"/>
        <w:ind w:left="0" w:right="0" w:firstLine="0"/>
        <w:jc w:val="left"/>
        <w:rPr>
          <w:sz w:val="18"/>
        </w:rPr>
      </w:pPr>
      <w:r>
        <w:rPr>
          <w:rStyle w:val="CharStyle28"/>
          <w:rFonts w:ascii="Times New Roman" w:hAnsi="Times New Roman" w:cs="Times New Roman" w:eastAsia="Times New Roman"/>
          <w:color w:val="464648"/>
          <w:sz w:val="18"/>
        </w:rPr>
        <w:t xml:space="preserve">Les FO1 As sont terribles et paranoïaques. Autrefois, nous devions les faire nous-mêmes, à la main. 1 signifie trouver et imprimer des milliers de courriels entrants et sortants. Maintenant, ils envoient parfois des messages texte FOIA aussi. De nombreuses FOIA affichent des milliers de pages de documents, et bien sûr, la plupart sont dénuées de sens. Nous sommes tous assez intelligents pour savoir que nous n’avons jamais d’armes à feu fumantes, et si nous le faisions, nous ne les mettrions pas dans des courriels et si nous les trouvions, nous les supprimions. Au cours de mes 22 années chez NIA1D, je n'ai jamais vu un FOIA qui a révélé des informations utiles.</w:t>
      </w:r>
    </w:p>
    <w:p>
      <w:pPr>
        <w:widowControl w:val="0"/>
        <w:spacing w:after="499" w:line="1" w:lineRule="exact"/>
      </w:pPr>
    </w:p>
    <w:p>
      <w:pPr>
        <w:pStyle w:val="Style24"/>
        <w:keepNext w:val="0"/>
        <w:keepLines w:val="0"/>
        <w:widowControl w:val="0"/>
        <w:shd w:val="clear" w:color="auto" w:fill="auto"/>
        <w:spacing w:before="0" w:line="259" w:lineRule="auto"/>
        <w:ind w:left="0" w:right="0" w:firstLine="740"/>
        <w:jc w:val="left"/>
      </w:pPr>
      <w:r>
        <w:rPr>
          <w:rStyle w:val="CharStyle25"/>
        </w:rPr>
        <w:t xml:space="preserve">Le 18 janvier 2024, lors d’un entretien transcrit, lorsqu’on lui a demandé s’il avait déjà supprimé quelque chose de son compte officiel, le Dr Morens a répondu «[n]o».</w:t>
        <w:footnoteReference w:id="388"/>
        <w:t xml:space="preserve"> </w:t>
        <w:footnoteReference w:id="389"/>
      </w:r>
    </w:p>
    <w:tbl>
      <w:tblPr>
        <w:tblOverlap w:val="never"/>
        <w:jc w:val="center"/>
        <w:tblLayout w:type="fixed"/>
      </w:tblPr>
      <w:tblGrid>
        <w:gridCol w:w="581"/>
        <w:gridCol w:w="6864"/>
      </w:tblGrid>
      <w:tr>
        <w:trPr>
          <w:trHeight w:val="288"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David Morens (18 janvier 2024)</w:t>
            </w:r>
          </w:p>
        </w:tc>
      </w:tr>
      <w:tr>
        <w:trPr>
          <w:trHeight w:val="1253"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ind w:left="240" w:right="0" w:firstLine="20"/>
              <w:jc w:val="both"/>
            </w:pPr>
            <w:r>
              <w:rPr>
                <w:rStyle w:val="CharStyle19"/>
              </w:rPr>
              <w:t xml:space="preserve">Avez-vous déjà supprimé quelque chose de votre compte officiel ou quelque chose de votre compte Gmail qui pourrait être considéré comme un dossier officiel?</w:t>
            </w:r>
          </w:p>
        </w:tc>
      </w:tr>
      <w:tr>
        <w:trPr>
          <w:trHeight w:val="456" w:hRule="exact"/>
        </w:trPr>
        <w:tc>
          <w:tcPr>
            <w:tcBorders>
              <w:left w:val="single" w:sz="4"/>
              <w:bottom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240"/>
              <w:jc w:val="left"/>
              <w:rPr>
                <w:sz w:val="16"/>
              </w:rPr>
            </w:pPr>
            <w:r>
              <w:rPr>
                <w:rStyle w:val="CharStyle19"/>
                <w:sz w:val="16"/>
                <w:vertAlign w:val="subscript"/>
              </w:rPr>
              <w:t xml:space="preserve">N° 1842</w:t>
            </w:r>
          </w:p>
        </w:tc>
      </w:tr>
    </w:tbl>
    <w:p>
      <w:pPr>
        <w:widowControl w:val="0"/>
        <w:spacing w:after="259" w:line="1" w:lineRule="exact"/>
      </w:pPr>
    </w:p>
    <w:p>
      <w:pPr>
        <w:pStyle w:val="Style24"/>
        <w:keepNext w:val="0"/>
        <w:keepLines w:val="0"/>
        <w:widowControl w:val="0"/>
        <w:shd w:val="clear" w:color="auto" w:fill="auto"/>
        <w:spacing w:before="0" w:line="264" w:lineRule="auto"/>
        <w:ind w:left="0" w:right="0" w:firstLine="740"/>
        <w:jc w:val="left"/>
      </w:pPr>
      <w:r>
        <w:rPr>
          <w:rStyle w:val="CharStyle25"/>
        </w:rPr>
        <w:t xml:space="preserve">Le 22 mai 2024, lors d'une audience publique, on a rappelé à M. Morens sa réponse et on lui a demandé s'il avait supprimé des dossiers fédéraux. Le Dr Morens a répondu: «À ma connaissance».</w:t>
        <w:footnoteReference w:id="390"/>
      </w:r>
    </w:p>
    <w:p>
      <w:pPr>
        <w:pStyle w:val="Style24"/>
        <w:keepNext w:val="0"/>
        <w:keepLines w:val="0"/>
        <w:widowControl w:val="0"/>
        <w:shd w:val="clear" w:color="auto" w:fill="auto"/>
        <w:spacing w:before="0" w:line="264" w:lineRule="auto"/>
        <w:ind w:left="1460" w:right="0" w:hanging="720"/>
        <w:jc w:val="left"/>
      </w:pPr>
      <w:r>
        <w:rPr>
          <w:rStyle w:val="CharStyle25"/>
          <w:u w:val="single"/>
        </w:rPr>
        <w:t xml:space="preserve">Dr David Morens (22 mai 2024)</w:t>
      </w:r>
    </w:p>
    <w:p>
      <w:pPr>
        <w:pStyle w:val="Style24"/>
        <w:keepNext w:val="0"/>
        <w:keepLines w:val="0"/>
        <w:widowControl w:val="0"/>
        <w:shd w:val="clear" w:color="auto" w:fill="auto"/>
        <w:spacing w:before="0" w:line="264" w:lineRule="auto"/>
        <w:ind w:left="1460" w:right="0" w:hanging="720"/>
        <w:jc w:val="left"/>
      </w:pPr>
      <w:r>
        <w:rPr>
          <w:rStyle w:val="CharStyle25"/>
        </w:rPr>
        <w:t xml:space="preserve">Q. Avez-vous déjà supprimé des documents officiels?</w:t>
      </w:r>
    </w:p>
    <w:p>
      <w:pPr>
        <w:pStyle w:val="Style24"/>
        <w:keepNext w:val="0"/>
        <w:keepLines w:val="0"/>
        <w:widowControl w:val="0"/>
        <w:shd w:val="clear" w:color="auto" w:fill="auto"/>
        <w:spacing w:before="0" w:line="264" w:lineRule="auto"/>
        <w:ind w:left="1460" w:right="0" w:hanging="720"/>
        <w:jc w:val="left"/>
      </w:pPr>
      <w:r>
        <w:rPr>
          <w:rStyle w:val="CharStyle25"/>
        </w:rPr>
        <w:t xml:space="preserve">A. Pas à ma connaissance, je veux dire, mais encore une fois, à la question de définir ce qui est un dossier fédéral, j'ai supprimé beaucoup de courriels. Je le fais tous les jours. Mais dans mon esprit, ce sont des choses triviales qui ne sont pas liées aux affaires du gouvernement.</w:t>
        <w:footnoteReference w:id="391"/>
      </w:r>
    </w:p>
    <w:p>
      <w:pPr>
        <w:pStyle w:val="Style24"/>
        <w:keepNext w:val="0"/>
        <w:keepLines w:val="0"/>
        <w:widowControl w:val="0"/>
        <w:shd w:val="clear" w:color="auto" w:fill="auto"/>
        <w:spacing w:before="0" w:after="340" w:line="264" w:lineRule="auto"/>
        <w:ind w:left="0" w:right="0" w:firstLine="740"/>
        <w:jc w:val="left"/>
      </w:pPr>
      <w:r>
        <w:rPr>
          <w:rStyle w:val="CharStyle25"/>
        </w:rPr>
        <w:t xml:space="preserve">Lors de son audience publique, le Dr Morens a soutenu qu'il ignore ce qu'est un dossier fédéral. Le Dr Morens a également témoigné qu’à aucun moment un dossier fédéral n’a été défini comme un «courriel». </w:t>
        <w:footnoteReference w:id="392"/>
        <w:t xml:space="preserve"> Toutefois, au cours de l’entretien transcrit du Dr Morens, il a témoigné qu’il comprenait les courriels comme étant des dossiers fédéraux.</w:t>
        <w:footnoteReference w:id="393"/>
        <w:t xml:space="preserve"> Selon la politique du HHS en matière de gestion des documents, « [t]ous les documents créés ou reçus par un fonctionnaire, un employé ou un sous-traitant du HHS dans le cadre de la conduite des activités du gouvernement fédéral pour le HHS sont la propriété du HHS, quel que soit l’endroit où le document réside [...] ».</w:t>
        <w:footnoteReference w:id="394"/>
        <w:t xml:space="preserve"> À l’époque, le Dr Morens a déclaré qu’il supprimait régulièrement des courriels, il était un employé du gouvernement depuis plus de deux décennies. Les employés fédéraux sont tenus de participer à la formation sur la gestion des documents.</w:t>
      </w:r>
    </w:p>
    <w:p>
      <w:pPr>
        <w:pStyle w:val="Style24"/>
        <w:keepNext w:val="0"/>
        <w:keepLines w:val="0"/>
        <w:widowControl w:val="0"/>
        <w:shd w:val="clear" w:color="auto" w:fill="auto"/>
        <w:tabs>
          <w:tab w:pos="1363" w:val="left"/>
        </w:tabs>
        <w:spacing w:before="0" w:after="0" w:line="240" w:lineRule="auto"/>
        <w:ind w:left="0" w:right="0" w:firstLine="0"/>
        <w:jc w:val="left"/>
      </w:pPr>
      <w:r>
        <w:rPr>
          <w:rStyle w:val="CharStyle25"/>
        </w:rPr>
        <w:t xml:space="preserve">CONSTATATION :</w:t>
        <w:tab/>
        <w:t xml:space="preserve">Le Dr David Morens a partagé l'information interne de l'Institut national d'information sur la santé des États-Unis</w:t>
      </w:r>
    </w:p>
    <w:p>
      <w:pPr>
        <w:pStyle w:val="Style24"/>
        <w:keepNext w:val="0"/>
        <w:keepLines w:val="0"/>
        <w:widowControl w:val="0"/>
        <w:shd w:val="clear" w:color="auto" w:fill="auto"/>
        <w:spacing w:before="0" w:after="340" w:line="240" w:lineRule="auto"/>
        <w:ind w:left="1460" w:right="0" w:firstLine="0"/>
        <w:jc w:val="left"/>
      </w:pPr>
      <w:r>
        <w:rPr>
          <w:rStyle w:val="CharStyle25"/>
        </w:rPr>
        <w:t xml:space="preserve">avec le Dr Peter Daszak et EcoHealth Alliance, Inc.</w:t>
      </w:r>
    </w:p>
    <w:p>
      <w:pPr>
        <w:pStyle w:val="Style24"/>
        <w:keepNext w:val="0"/>
        <w:keepLines w:val="0"/>
        <w:widowControl w:val="0"/>
        <w:shd w:val="clear" w:color="auto" w:fill="auto"/>
        <w:spacing w:before="0"/>
        <w:ind w:left="0" w:right="0" w:firstLine="780"/>
        <w:jc w:val="left"/>
      </w:pPr>
      <w:r>
        <w:rPr>
          <w:rStyle w:val="CharStyle25"/>
        </w:rPr>
        <w:t xml:space="preserve">En raison de son poste au sein du bureau du directeur du NIAID, le Dr Morens était au courant de l'information que le public n'était pas. Grâce à cet accès, le Dr Morens a envoyé « l’un de ses plus anciens et meilleurs amis », le Dr Daszak, de nombreux courriels contenant des informations NIAID sensibles et, parfois confidentielles, concernant la subvention résiliée d’EcoHealth Alliance ou d’autres documents pertinents pour les origines de la COVID-19.</w:t>
        <w:footnoteReference w:id="395"/>
      </w:r>
    </w:p>
    <w:p>
      <w:pPr>
        <w:pStyle w:val="Style24"/>
        <w:keepNext w:val="0"/>
        <w:keepLines w:val="0"/>
        <w:widowControl w:val="0"/>
        <w:shd w:val="clear" w:color="auto" w:fill="auto"/>
        <w:spacing w:before="0" w:after="340"/>
        <w:ind w:left="0" w:right="0" w:firstLine="780"/>
        <w:jc w:val="left"/>
      </w:pPr>
      <w:r>
        <w:rPr>
          <w:rStyle w:val="CharStyle25"/>
        </w:rPr>
        <w:t xml:space="preserve">Le 31 mars 2021, le Dr Morens a reçu un courriel de Mme Hillary Hoffmann, employée du Bureau des communications et des relations gouvernementales du NIAID, l’informant que toutes les demandes de commentaires concernant le rapport de l’OMS sur les origines de la pandémie devaient être adressées au Conseil national de sécurité de la Maison-Blanche.</w:t>
        <w:footnoteReference w:id="396"/>
      </w:r>
    </w:p>
    <w:p>
      <w:pPr>
        <w:pStyle w:val="Style18"/>
        <w:keepNext w:val="0"/>
        <w:keepLines w:val="0"/>
        <w:widowControl w:val="0"/>
        <w:shd w:val="clear" w:color="auto" w:fill="auto"/>
        <w:spacing w:before="0" w:after="0" w:line="240" w:lineRule="auto"/>
        <w:ind w:left="0" w:right="0" w:firstLine="140"/>
        <w:jc w:val="left"/>
        <w:rPr>
          <w:sz w:val="18"/>
        </w:rPr>
      </w:pPr>
      <w:r>
        <w:rPr>
          <w:rStyle w:val="CharStyle19"/>
          <w:color w:val="303030"/>
          <w:sz w:val="18"/>
        </w:rPr>
        <w:t xml:space="preserve">À partir de: Hoffman, Hillary (NIHMAID) </w:t>
      </w:r>
      <w:r>
        <w:rPr>
          <w:rStyle w:val="CharStyle19"/>
          <w:color w:val="464648"/>
          <w:sz w:val="18"/>
        </w:rPr>
        <w:t>[F]</w:t>
      </w:r>
    </w:p>
    <w:p>
      <w:pPr>
        <w:pStyle w:val="Style18"/>
        <w:keepNext w:val="0"/>
        <w:keepLines w:val="0"/>
        <w:widowControl w:val="0"/>
        <w:shd w:val="clear" w:color="auto" w:fill="auto"/>
        <w:spacing w:before="0" w:after="0" w:line="221" w:lineRule="auto"/>
        <w:ind w:left="0" w:right="0" w:firstLine="140"/>
        <w:jc w:val="left"/>
        <w:rPr>
          <w:sz w:val="18"/>
        </w:rPr>
      </w:pPr>
      <w:r>
        <w:rPr>
          <w:rStyle w:val="CharStyle19"/>
          <w:b/>
          <w:color w:val="303030"/>
          <w:sz w:val="20"/>
        </w:rPr>
        <w:t xml:space="preserve">Envoyé: </w:t>
      </w:r>
      <w:r>
        <w:rPr>
          <w:rStyle w:val="CharStyle19"/>
          <w:color w:val="464648"/>
          <w:sz w:val="18"/>
        </w:rPr>
        <w:t xml:space="preserve">Mardi 30 </w:t>
      </w:r>
      <w:r>
        <w:rPr>
          <w:rStyle w:val="CharStyle19"/>
          <w:b/>
          <w:color w:val="464648"/>
          <w:sz w:val="20"/>
        </w:rPr>
        <w:t xml:space="preserve">mars </w:t>
      </w:r>
      <w:r>
        <w:rPr>
          <w:rStyle w:val="CharStyle19"/>
          <w:b/>
          <w:color w:val="464648"/>
          <w:sz w:val="20"/>
        </w:rPr>
        <w:t xml:space="preserve">2021 </w:t>
      </w:r>
      <w:r>
        <w:rPr>
          <w:rStyle w:val="CharStyle19"/>
          <w:color w:val="464648"/>
          <w:sz w:val="18"/>
        </w:rPr>
        <w:t>1:32</w:t>
      </w:r>
    </w:p>
    <w:p>
      <w:pPr>
        <w:pStyle w:val="Style18"/>
        <w:keepNext w:val="0"/>
        <w:keepLines w:val="0"/>
        <w:widowControl w:val="0"/>
        <w:shd w:val="clear" w:color="auto" w:fill="auto"/>
        <w:spacing w:before="0" w:after="0" w:line="240" w:lineRule="auto"/>
        <w:ind w:left="0" w:right="0" w:firstLine="140"/>
        <w:jc w:val="left"/>
        <w:rPr>
          <w:sz w:val="18"/>
        </w:rPr>
      </w:pPr>
      <w:r>
        <w:rPr>
          <w:rStyle w:val="CharStyle19"/>
          <w:color w:val="303030"/>
          <w:sz w:val="18"/>
        </w:rPr>
        <w:t xml:space="preserve">À l'attention de: Morens, David</w:t>
      </w:r>
      <w:r>
        <w:rPr>
          <w:rStyle w:val="CharStyle19"/>
          <w:sz w:val="18"/>
        </w:rPr>
        <w:t>(NIH/NIAID)[E]|^^^^^^^^</w:t>
      </w:r>
    </w:p>
    <w:p>
      <w:pPr>
        <w:pStyle w:val="Style18"/>
        <w:keepNext w:val="0"/>
        <w:keepLines w:val="0"/>
        <w:widowControl w:val="0"/>
        <w:shd w:val="clear" w:color="auto" w:fill="auto"/>
        <w:spacing w:before="0" w:after="0" w:line="240" w:lineRule="auto"/>
        <w:ind w:left="0" w:right="0" w:firstLine="140"/>
        <w:jc w:val="left"/>
        <w:rPr>
          <w:sz w:val="20"/>
        </w:rPr>
      </w:pPr>
      <w:r>
        <w:rPr>
          <w:rStyle w:val="CharStyle19"/>
          <w:color w:val="303030"/>
          <w:sz w:val="18"/>
        </w:rPr>
        <w:t xml:space="preserve">Cc : NIA1D OGGR </w:t>
      </w:r>
      <w:r>
        <w:rPr>
          <w:rStyle w:val="CharStyle19"/>
          <w:rFonts w:ascii="Arial" w:hAnsi="Arial" w:cs="Arial" w:eastAsia="Arial"/>
          <w:b/>
          <w:sz w:val="20"/>
        </w:rPr>
        <w:t>NSWB^HHNMMMHMHII^Salut</w:t>
      </w:r>
    </w:p>
    <w:p>
      <w:pPr>
        <w:pStyle w:val="Style18"/>
        <w:keepNext w:val="0"/>
        <w:keepLines w:val="0"/>
        <w:widowControl w:val="0"/>
        <w:shd w:val="clear" w:color="auto" w:fill="auto"/>
        <w:spacing w:before="0" w:after="200" w:line="194" w:lineRule="auto"/>
        <w:ind w:left="0" w:right="0" w:firstLine="140"/>
        <w:jc w:val="left"/>
        <w:rPr>
          <w:sz w:val="18"/>
        </w:rPr>
      </w:pPr>
      <w:r>
        <w:rPr>
          <w:rStyle w:val="CharStyle19"/>
          <w:b/>
          <w:color w:val="303030"/>
          <w:sz w:val="20"/>
        </w:rPr>
        <w:t xml:space="preserve">Objet: </w:t>
      </w:r>
      <w:r>
        <w:rPr>
          <w:rStyle w:val="CharStyle19"/>
          <w:color w:val="303030"/>
          <w:sz w:val="18"/>
        </w:rPr>
        <w:t xml:space="preserve">(pour votre information </w:t>
      </w:r>
      <w:r>
        <w:rPr>
          <w:rStyle w:val="CharStyle19"/>
          <w:color w:val="464648"/>
          <w:sz w:val="18"/>
        </w:rPr>
        <w:t xml:space="preserve">uniquement): Origine de </w:t>
      </w:r>
      <w:r>
        <w:rPr>
          <w:rStyle w:val="CharStyle19"/>
          <w:color w:val="303030"/>
          <w:sz w:val="18"/>
        </w:rPr>
        <w:t xml:space="preserve">la COVID-19 - Entretien possible</w:t>
      </w:r>
    </w:p>
    <w:p>
      <w:pPr>
        <w:pStyle w:val="Style24"/>
        <w:keepNext w:val="0"/>
        <w:keepLines w:val="0"/>
        <w:widowControl w:val="0"/>
        <w:shd w:val="clear" w:color="auto" w:fill="auto"/>
        <w:spacing w:before="0" w:after="200" w:line="221" w:lineRule="auto"/>
        <w:ind w:left="0" w:right="0" w:firstLine="140"/>
        <w:jc w:val="left"/>
        <w:rPr>
          <w:sz w:val="20"/>
        </w:rPr>
      </w:pPr>
      <w:r>
        <w:rPr>
          <w:rStyle w:val="CharStyle25"/>
          <w:color w:val="464648"/>
          <w:sz w:val="20"/>
        </w:rPr>
        <w:t xml:space="preserve">Bonjour </w:t>
      </w:r>
      <w:r>
        <w:rPr>
          <w:rStyle w:val="CharStyle25"/>
          <w:color w:val="303030"/>
          <w:sz w:val="20"/>
        </w:rPr>
        <w:t xml:space="preserve">Dr Morens </w:t>
      </w:r>
      <w:r>
        <w:rPr>
          <w:rStyle w:val="CharStyle25"/>
          <w:color w:val="464648"/>
          <w:sz w:val="20"/>
        </w:rPr>
        <w:t>-</w:t>
      </w:r>
    </w:p>
    <w:p>
      <w:pPr>
        <w:pStyle w:val="Style18"/>
        <w:keepNext w:val="0"/>
        <w:keepLines w:val="0"/>
        <w:widowControl w:val="0"/>
        <w:shd w:val="clear" w:color="auto" w:fill="auto"/>
        <w:spacing w:before="0" w:after="760" w:line="240" w:lineRule="auto"/>
        <w:ind w:left="140" w:right="0" w:firstLine="0"/>
        <w:jc w:val="left"/>
        <w:rPr>
          <w:sz w:val="18"/>
        </w:rPr>
      </w:pPr>
      <w:r>
        <w:rPr>
          <w:rStyle w:val="CharStyle19"/>
          <w:color w:val="303030"/>
          <w:sz w:val="18"/>
        </w:rPr>
        <w:t xml:space="preserve">Pour </w:t>
      </w:r>
      <w:r>
        <w:rPr>
          <w:rStyle w:val="CharStyle19"/>
          <w:color w:val="464648"/>
          <w:sz w:val="18"/>
        </w:rPr>
        <w:t xml:space="preserve">votre sensibilisation </w:t>
      </w:r>
      <w:r>
        <w:rPr>
          <w:rStyle w:val="CharStyle19"/>
          <w:color w:val="303030"/>
          <w:sz w:val="18"/>
        </w:rPr>
        <w:t xml:space="preserve">(et au </w:t>
      </w:r>
      <w:r>
        <w:rPr>
          <w:rStyle w:val="CharStyle19"/>
          <w:color w:val="464648"/>
          <w:sz w:val="18"/>
        </w:rPr>
        <w:t xml:space="preserve">cas où elle </w:t>
      </w:r>
      <w:r>
        <w:rPr>
          <w:rStyle w:val="CharStyle19"/>
          <w:color w:val="464648"/>
          <w:sz w:val="18"/>
        </w:rPr>
        <w:t xml:space="preserve">vous contacterait </w:t>
      </w:r>
      <w:r>
        <w:rPr>
          <w:rStyle w:val="CharStyle19"/>
          <w:color w:val="464648"/>
          <w:sz w:val="18"/>
        </w:rPr>
        <w:t xml:space="preserve"> </w:t>
      </w:r>
      <w:r>
        <w:rPr>
          <w:rStyle w:val="CharStyle19"/>
          <w:color w:val="303030"/>
          <w:sz w:val="18"/>
        </w:rPr>
        <w:t xml:space="preserve">directement), Mariana Lenharo a donné suite </w:t>
      </w:r>
      <w:r>
        <w:rPr>
          <w:rStyle w:val="CharStyle19"/>
          <w:color w:val="464648"/>
          <w:sz w:val="18"/>
        </w:rPr>
        <w:t xml:space="preserve">aujourd'hui à sa </w:t>
      </w:r>
      <w:r>
        <w:rPr>
          <w:rStyle w:val="CharStyle19"/>
          <w:color w:val="303030"/>
          <w:sz w:val="18"/>
        </w:rPr>
        <w:t xml:space="preserve">demande de </w:t>
      </w:r>
      <w:r>
        <w:rPr>
          <w:rStyle w:val="CharStyle19"/>
          <w:color w:val="464648"/>
          <w:sz w:val="18"/>
        </w:rPr>
        <w:t xml:space="preserve">parler avec vous ou un </w:t>
      </w:r>
      <w:r>
        <w:rPr>
          <w:rStyle w:val="CharStyle19"/>
          <w:color w:val="303030"/>
          <w:sz w:val="18"/>
        </w:rPr>
        <w:t xml:space="preserve">autre </w:t>
      </w:r>
      <w:r>
        <w:rPr>
          <w:rStyle w:val="CharStyle19"/>
          <w:color w:val="464648"/>
          <w:sz w:val="18"/>
        </w:rPr>
        <w:t xml:space="preserve">expert </w:t>
      </w:r>
      <w:r>
        <w:rPr>
          <w:rStyle w:val="CharStyle19"/>
          <w:color w:val="303030"/>
          <w:sz w:val="18"/>
        </w:rPr>
        <w:t xml:space="preserve">du NIA1D du </w:t>
      </w:r>
      <w:r>
        <w:rPr>
          <w:rStyle w:val="CharStyle19"/>
          <w:color w:val="464648"/>
          <w:sz w:val="18"/>
        </w:rPr>
        <w:t xml:space="preserve">rapport de l'OMS, qui, comme </w:t>
      </w:r>
      <w:r>
        <w:rPr>
          <w:rStyle w:val="CharStyle19"/>
          <w:color w:val="464648"/>
          <w:sz w:val="18"/>
        </w:rPr>
        <w:t xml:space="preserve">vous </w:t>
      </w:r>
      <w:r>
        <w:rPr>
          <w:rStyle w:val="CharStyle19"/>
          <w:color w:val="464648"/>
          <w:sz w:val="18"/>
        </w:rPr>
        <w:t xml:space="preserve">le savez, </w:t>
      </w:r>
      <w:r>
        <w:rPr>
          <w:rStyle w:val="CharStyle19"/>
          <w:color w:val="303030"/>
          <w:sz w:val="18"/>
        </w:rPr>
        <w:t xml:space="preserve">est sorti </w:t>
      </w:r>
      <w:r>
        <w:rPr>
          <w:rStyle w:val="CharStyle19"/>
          <w:color w:val="464648"/>
          <w:sz w:val="18"/>
        </w:rPr>
        <w:t>aujourd'hui.</w:t>
      </w:r>
    </w:p>
    <w:p>
      <w:pPr>
        <w:pStyle w:val="Style24"/>
        <w:keepNext w:val="0"/>
        <w:keepLines w:val="0"/>
        <w:widowControl w:val="0"/>
        <w:shd w:val="clear" w:color="auto" w:fill="auto"/>
        <w:spacing w:before="0" w:after="760" w:line="240" w:lineRule="auto"/>
        <w:ind w:left="0" w:right="0" w:firstLine="0"/>
        <w:jc w:val="right"/>
        <w:rPr>
          <w:sz w:val="20"/>
        </w:rPr>
      </w:pPr>
      <w:r>
        <w:rPr>
          <w:rStyle w:val="CharStyle25"/>
          <w:color w:val="303030"/>
          <w:sz w:val="20"/>
        </w:rPr>
        <w:t xml:space="preserve">MORENSSUBPOENA 021231</w:t>
      </w:r>
    </w:p>
    <w:p>
      <w:pPr>
        <w:pStyle w:val="Style18"/>
        <w:keepNext w:val="0"/>
        <w:keepLines w:val="0"/>
        <w:widowControl w:val="0"/>
        <w:shd w:val="clear" w:color="auto" w:fill="auto"/>
        <w:spacing w:before="0" w:after="200" w:line="257" w:lineRule="auto"/>
        <w:ind w:left="140" w:right="0" w:firstLine="0"/>
        <w:jc w:val="left"/>
        <w:rPr>
          <w:sz w:val="18"/>
        </w:rPr>
      </w:pPr>
      <w:r>
        <w:rPr>
          <w:rStyle w:val="CharStyle19"/>
          <w:color w:val="464648"/>
          <w:sz w:val="18"/>
        </w:rPr>
        <w:t xml:space="preserve">Il nous a été demandé de transmettre les demandes </w:t>
      </w:r>
      <w:r>
        <w:rPr>
          <w:rStyle w:val="CharStyle19"/>
          <w:color w:val="303030"/>
          <w:sz w:val="18"/>
        </w:rPr>
        <w:t xml:space="preserve">de </w:t>
      </w:r>
      <w:r>
        <w:rPr>
          <w:rStyle w:val="CharStyle19"/>
          <w:color w:val="464648"/>
          <w:sz w:val="18"/>
        </w:rPr>
        <w:t xml:space="preserve">commentaires sur le rapport au Conseil </w:t>
      </w:r>
      <w:r>
        <w:rPr>
          <w:rStyle w:val="CharStyle19"/>
          <w:color w:val="303030"/>
          <w:sz w:val="18"/>
        </w:rPr>
        <w:t xml:space="preserve">national </w:t>
      </w:r>
      <w:r>
        <w:rPr>
          <w:rStyle w:val="CharStyle19"/>
          <w:color w:val="464648"/>
          <w:sz w:val="18"/>
        </w:rPr>
        <w:t xml:space="preserve">de sécurité, et nous l’y dirigerons.</w:t>
      </w:r>
    </w:p>
    <w:p>
      <w:pPr>
        <w:pStyle w:val="Style18"/>
        <w:keepNext w:val="0"/>
        <w:keepLines w:val="0"/>
        <w:widowControl w:val="0"/>
        <w:shd w:val="clear" w:color="auto" w:fill="auto"/>
        <w:spacing w:before="0" w:after="0" w:line="257" w:lineRule="auto"/>
        <w:ind w:left="0" w:right="0" w:firstLine="140"/>
        <w:jc w:val="left"/>
        <w:rPr>
          <w:sz w:val="18"/>
        </w:rPr>
      </w:pPr>
      <w:r>
        <w:rPr>
          <w:rStyle w:val="CharStyle19"/>
          <w:color w:val="464648"/>
          <w:sz w:val="18"/>
        </w:rPr>
        <w:t xml:space="preserve">Le meilleur,</w:t>
      </w:r>
    </w:p>
    <w:p>
      <w:pPr>
        <w:pStyle w:val="Style36"/>
        <w:keepNext w:val="0"/>
        <w:keepLines w:val="0"/>
        <w:widowControl w:val="0"/>
        <w:shd w:val="clear" w:color="auto" w:fill="auto"/>
        <w:spacing w:before="0" w:after="300" w:line="271" w:lineRule="auto"/>
        <w:ind w:left="0" w:right="0" w:firstLine="140"/>
        <w:jc w:val="left"/>
        <w:rPr>
          <w:sz w:val="17"/>
        </w:rPr>
      </w:pPr>
      <w:r>
        <w:rPr>
          <w:rStyle w:val="CharStyle37"/>
          <w:color w:val="464648"/>
          <w:sz w:val="17"/>
        </w:rPr>
        <w:t>Hillary</w:t>
      </w:r>
    </w:p>
    <w:p>
      <w:pPr>
        <w:pStyle w:val="Style24"/>
        <w:keepNext w:val="0"/>
        <w:keepLines w:val="0"/>
        <w:widowControl w:val="0"/>
        <w:shd w:val="clear" w:color="auto" w:fill="auto"/>
        <w:spacing w:before="0" w:after="460" w:line="259" w:lineRule="auto"/>
        <w:ind w:left="0" w:right="0" w:firstLine="740"/>
        <w:jc w:val="left"/>
      </w:pPr>
      <w:r>
        <w:rPr>
          <w:rStyle w:val="CharStyle25"/>
        </w:rPr>
        <w:t xml:space="preserve">Dans une démonstration flagrante de la volonté du Dr Morens de partager des informations internes sensibles, il a transmis cette chaîne de courriels directement au Dr Daszak, au Dr Keusch et au Dr Richard Roberts. </w:t>
        <w:footnoteReference w:id="397"/>
      </w:r>
    </w:p>
    <w:p>
      <w:pPr>
        <w:pStyle w:val="Style36"/>
        <w:keepNext w:val="0"/>
        <w:keepLines w:val="0"/>
        <w:widowControl w:val="0"/>
        <w:shd w:val="clear" w:color="auto" w:fill="auto"/>
        <w:tabs>
          <w:tab w:pos="5338" w:val="left"/>
        </w:tabs>
        <w:spacing w:before="0" w:after="0" w:line="240" w:lineRule="auto"/>
        <w:ind w:left="0" w:right="0" w:firstLine="0"/>
        <w:jc w:val="left"/>
        <w:rPr>
          <w:sz w:val="17"/>
        </w:rPr>
      </w:pPr>
      <w:r>
        <w:rPr>
          <w:rStyle w:val="CharStyle37"/>
          <w:color w:val="303030"/>
          <w:sz w:val="19"/>
        </w:rPr>
        <w:t xml:space="preserve">À partir de: </w:t>
      </w:r>
      <w:r>
        <w:rPr>
          <w:rStyle w:val="CharStyle37"/>
          <w:color w:val="303030"/>
          <w:sz w:val="17"/>
        </w:rPr>
        <w:t xml:space="preserve">Morens, David (NIH/NLAID) </w:t>
      </w:r>
      <w:r>
        <w:rPr>
          <w:rStyle w:val="CharStyle37"/>
          <w:color w:val="838481"/>
          <w:sz w:val="17"/>
        </w:rPr>
        <w:t>&gt;</w:t>
      </w:r>
    </w:p>
    <w:p>
      <w:pPr>
        <w:pStyle w:val="Style36"/>
        <w:keepNext w:val="0"/>
        <w:keepLines w:val="0"/>
        <w:widowControl w:val="0"/>
        <w:shd w:val="clear" w:color="auto" w:fill="auto"/>
        <w:tabs>
          <w:tab w:pos="5338" w:val="left"/>
        </w:tabs>
        <w:spacing w:before="0" w:after="0" w:line="240" w:lineRule="auto"/>
        <w:ind w:left="0" w:right="0" w:firstLine="0"/>
        <w:jc w:val="left"/>
        <w:rPr>
          <w:sz w:val="17"/>
        </w:rPr>
      </w:pPr>
      <w:r>
        <w:rPr>
          <w:rStyle w:val="CharStyle37"/>
          <w:color w:val="303030"/>
          <w:sz w:val="19"/>
        </w:rPr>
        <w:t xml:space="preserve">Envoyé: </w:t>
      </w:r>
      <w:r>
        <w:rPr>
          <w:rStyle w:val="CharStyle37"/>
          <w:color w:val="303030"/>
          <w:sz w:val="17"/>
        </w:rPr>
        <w:t xml:space="preserve">Mardi, M</w:t>
      </w:r>
      <w:r>
        <w:rPr>
          <w:rStyle w:val="CharStyle37"/>
          <w:color w:val="303030"/>
          <w:sz w:val="17"/>
          <w:u w:val="single"/>
        </w:rPr>
        <w:t xml:space="preserve">arch </w:t>
      </w:r>
      <w:r>
        <w:rPr>
          <w:rStyle w:val="CharStyle37"/>
          <w:color w:val="464648"/>
          <w:sz w:val="17"/>
          <w:u w:val="single"/>
        </w:rPr>
        <w:t>30,</w:t>
      </w:r>
      <w:r>
        <w:rPr>
          <w:rStyle w:val="CharStyle37"/>
          <w:color w:val="303030"/>
          <w:sz w:val="19"/>
          <w:u w:val="single"/>
        </w:rPr>
        <w:t>202</w:t>
      </w:r>
      <w:r>
        <w:rPr>
          <w:rStyle w:val="CharStyle37"/>
          <w:color w:val="464648"/>
          <w:sz w:val="17"/>
          <w:u w:val="single"/>
        </w:rPr>
        <w:t>14:25</w:t>
        <w:tab/>
        <w:t>'</w:t>
      </w:r>
    </w:p>
    <w:p>
      <w:pPr>
        <w:pStyle w:val="Style36"/>
        <w:keepNext w:val="0"/>
        <w:keepLines w:val="0"/>
        <w:widowControl w:val="0"/>
        <w:shd w:val="clear" w:color="auto" w:fill="auto"/>
        <w:tabs>
          <w:tab w:pos="3274" w:val="left"/>
          <w:tab w:pos="6177" w:val="left"/>
        </w:tabs>
        <w:spacing w:before="0" w:after="220" w:line="240" w:lineRule="auto"/>
        <w:ind w:left="0" w:right="0" w:firstLine="0"/>
        <w:jc w:val="left"/>
        <w:rPr>
          <w:sz w:val="17"/>
        </w:rPr>
      </w:pPr>
      <w:r>
        <w:rPr>
          <w:rStyle w:val="CharStyle37"/>
          <w:color w:val="303030"/>
          <w:sz w:val="19"/>
          <w:u w:val="single"/>
        </w:rPr>
        <w:t xml:space="preserve">À l'attention de: </w:t>
      </w:r>
      <w:r>
        <w:rPr>
          <w:rStyle w:val="CharStyle37"/>
          <w:color w:val="303030"/>
          <w:sz w:val="17"/>
          <w:u w:val="single"/>
        </w:rPr>
        <w:t>Roberts,</w:t>
      </w:r>
      <w:r>
        <w:rPr>
          <w:rStyle w:val="CharStyle37"/>
          <w:color w:val="303030"/>
          <w:sz w:val="17"/>
        </w:rPr>
        <w:tab/>
        <w:t xml:space="preserve">Keusch, Jerry</w:t>
        <w:tab/>
        <w:t xml:space="preserve">Peter Daszak </w:t>
      </w:r>
      <w:r>
        <w:rPr>
          <w:rStyle w:val="CharStyle37"/>
          <w:color w:val="838481"/>
          <w:sz w:val="17"/>
        </w:rPr>
        <w:t>&lt;</w:t>
      </w:r>
    </w:p>
    <w:p>
      <w:pPr>
        <w:pStyle w:val="Style36"/>
        <w:keepNext w:val="0"/>
        <w:keepLines w:val="0"/>
        <w:widowControl w:val="0"/>
        <w:shd w:val="clear" w:color="auto" w:fill="auto"/>
        <w:spacing w:before="0" w:after="460" w:line="240" w:lineRule="auto"/>
        <w:ind w:left="0" w:right="0" w:firstLine="0"/>
        <w:jc w:val="left"/>
        <w:rPr>
          <w:sz w:val="17"/>
        </w:rPr>
      </w:pPr>
      <w:r>
        <w:rPr>
          <w:rStyle w:val="CharStyle37"/>
          <w:color w:val="303030"/>
          <w:sz w:val="17"/>
        </w:rPr>
        <w:t xml:space="preserve">Objet: Fwd : FW : (pour votre information uniquement): Origine de la COVID-19 </w:t>
      </w:r>
      <w:r>
        <w:rPr>
          <w:rStyle w:val="CharStyle37"/>
          <w:color w:val="838481"/>
          <w:sz w:val="17"/>
        </w:rPr>
        <w:t xml:space="preserve">- </w:t>
      </w:r>
      <w:r>
        <w:rPr>
          <w:rStyle w:val="CharStyle37"/>
          <w:color w:val="303030"/>
          <w:sz w:val="17"/>
        </w:rPr>
        <w:t>Entretien</w:t>
      </w:r>
      <w:r>
        <w:rPr>
          <w:rStyle w:val="CharStyle37"/>
          <w:color w:val="464648"/>
          <w:sz w:val="17"/>
        </w:rPr>
        <w:t xml:space="preserve">possible </w:t>
      </w:r>
    </w:p>
    <w:p>
      <w:pPr>
        <w:pStyle w:val="Style24"/>
        <w:keepNext w:val="0"/>
        <w:keepLines w:val="0"/>
        <w:widowControl w:val="0"/>
        <w:shd w:val="clear" w:color="auto" w:fill="auto"/>
        <w:tabs>
          <w:tab w:leader="dot" w:pos="1762" w:val="left"/>
        </w:tabs>
        <w:spacing w:before="0" w:after="220" w:line="252" w:lineRule="auto"/>
        <w:ind w:left="0" w:right="0" w:firstLine="0"/>
        <w:jc w:val="left"/>
      </w:pPr>
      <w:r>
        <w:rPr>
          <w:rStyle w:val="CharStyle25"/>
          <w:color w:val="303030"/>
        </w:rPr>
        <w:t xml:space="preserve">Les gars, voir ci-dessous</w:t>
        <w:tab/>
        <w:t xml:space="preserve"> L’administrateur de Biden ne laissera apparemment aucun d’entre nous aux NIH, y compris Tony, discuter du rapport de l’OMS.</w:t>
      </w:r>
    </w:p>
    <w:p>
      <w:pPr>
        <w:pStyle w:val="Style24"/>
        <w:keepNext w:val="0"/>
        <w:keepLines w:val="0"/>
        <w:widowControl w:val="0"/>
        <w:shd w:val="clear" w:color="auto" w:fill="auto"/>
        <w:spacing w:before="0" w:after="460" w:line="240" w:lineRule="auto"/>
        <w:ind w:left="0" w:right="0" w:firstLine="0"/>
        <w:jc w:val="left"/>
      </w:pPr>
      <w:r>
        <w:rPr>
          <w:rStyle w:val="CharStyle25"/>
          <w:color w:val="303030"/>
        </w:rPr>
        <w:t xml:space="preserve">En surface (il semble mauvais, mais il y a la possibilité qu'ils veulent juste une org pour gérer le message parce qu'ils essaient d'éteindre un feu. Ou suis-je juste Pollyanna?</w:t>
      </w:r>
    </w:p>
    <w:p>
      <w:pPr>
        <w:pStyle w:val="Style36"/>
        <w:keepNext w:val="0"/>
        <w:keepLines w:val="0"/>
        <w:widowControl w:val="0"/>
        <w:shd w:val="clear" w:color="auto" w:fill="auto"/>
        <w:tabs>
          <w:tab w:leader="hyphen" w:pos="514" w:val="left"/>
          <w:tab w:leader="hyphen" w:pos="2736" w:val="left"/>
        </w:tabs>
        <w:spacing w:before="0" w:after="0" w:line="240" w:lineRule="auto"/>
        <w:ind w:left="0" w:right="0" w:firstLine="0"/>
        <w:jc w:val="left"/>
        <w:rPr>
          <w:sz w:val="17"/>
        </w:rPr>
      </w:pPr>
      <w:r>
        <w:rPr>
          <w:rStyle w:val="CharStyle37"/>
          <w:color w:val="838481"/>
          <w:sz w:val="17"/>
        </w:rPr>
        <w:tab/>
      </w:r>
      <w:r>
        <w:rPr>
          <w:rStyle w:val="CharStyle37"/>
          <w:color w:val="464648"/>
          <w:sz w:val="17"/>
        </w:rPr>
        <w:t>Message</w:t>
      </w:r>
      <w:r>
        <w:rPr>
          <w:rStyle w:val="CharStyle37"/>
          <w:color w:val="838481"/>
          <w:sz w:val="17"/>
        </w:rPr>
        <w:t xml:space="preserve"> transmis</w:t>
        <w:tab/>
      </w:r>
    </w:p>
    <w:p>
      <w:pPr>
        <w:pStyle w:val="Style36"/>
        <w:keepNext w:val="0"/>
        <w:keepLines w:val="0"/>
        <w:widowControl w:val="0"/>
        <w:shd w:val="clear" w:color="auto" w:fill="auto"/>
        <w:spacing w:before="0" w:after="60" w:line="240" w:lineRule="auto"/>
        <w:ind w:left="0" w:right="0" w:firstLine="0"/>
        <w:jc w:val="left"/>
        <w:rPr>
          <w:sz w:val="17"/>
        </w:rPr>
      </w:pPr>
      <w:r>
        <w:rPr>
          <w:rStyle w:val="CharStyle37"/>
          <w:color w:val="303030"/>
          <w:sz w:val="19"/>
        </w:rPr>
        <w:t xml:space="preserve">Objet: FW : </w:t>
      </w:r>
      <w:r>
        <w:rPr>
          <w:rStyle w:val="CharStyle37"/>
          <w:color w:val="464648"/>
          <w:sz w:val="17"/>
        </w:rPr>
        <w:t xml:space="preserve">(pour votre information </w:t>
      </w:r>
      <w:r>
        <w:rPr>
          <w:rStyle w:val="CharStyle37"/>
          <w:color w:val="303030"/>
          <w:sz w:val="17"/>
        </w:rPr>
        <w:t xml:space="preserve">uniquement): Origine </w:t>
      </w:r>
      <w:r>
        <w:rPr>
          <w:rStyle w:val="CharStyle37"/>
          <w:color w:val="464648"/>
          <w:sz w:val="17"/>
        </w:rPr>
        <w:t xml:space="preserve">de </w:t>
      </w:r>
      <w:r>
        <w:rPr>
          <w:rStyle w:val="CharStyle37"/>
          <w:color w:val="303030"/>
          <w:sz w:val="17"/>
        </w:rPr>
        <w:t xml:space="preserve">la COVID-19 </w:t>
      </w:r>
      <w:r>
        <w:rPr>
          <w:rStyle w:val="CharStyle37"/>
          <w:color w:val="464648"/>
          <w:sz w:val="17"/>
        </w:rPr>
        <w:t>-</w:t>
      </w:r>
      <w:r>
        <w:rPr>
          <w:rStyle w:val="CharStyle37"/>
          <w:color w:val="303030"/>
          <w:sz w:val="17"/>
        </w:rPr>
        <w:t>Entretien</w:t>
      </w:r>
      <w:r>
        <w:rPr>
          <w:rStyle w:val="CharStyle37"/>
          <w:color w:val="464648"/>
          <w:sz w:val="17"/>
        </w:rPr>
        <w:t xml:space="preserve"> possible </w:t>
      </w:r>
    </w:p>
    <w:p>
      <w:pPr>
        <w:pStyle w:val="Style36"/>
        <w:keepNext w:val="0"/>
        <w:keepLines w:val="0"/>
        <w:widowControl w:val="0"/>
        <w:shd w:val="clear" w:color="auto" w:fill="auto"/>
        <w:tabs>
          <w:tab w:leader="underscore" w:pos="5777" w:val="left"/>
        </w:tabs>
        <w:spacing w:before="0" w:after="60" w:line="240" w:lineRule="auto"/>
        <w:ind w:left="0" w:right="0" w:firstLine="400"/>
        <w:jc w:val="left"/>
        <w:rPr>
          <w:sz w:val="17"/>
        </w:rPr>
      </w:pPr>
      <w:r>
        <w:rPr>
          <w:rStyle w:val="CharStyle37"/>
          <w:color w:val="303030"/>
          <w:sz w:val="17"/>
        </w:rPr>
        <w:t xml:space="preserve">Date:mar, 30 mars2021 17:43:09 +0000</w:t>
      </w:r>
      <w:r>
        <w:rPr>
          <w:rStyle w:val="CharStyle37"/>
          <w:color w:val="000000"/>
          <w:sz w:val="17"/>
        </w:rPr>
        <w:t xml:space="preserve"> </w:t>
      </w:r>
    </w:p>
    <w:p>
      <w:pPr>
        <w:pStyle w:val="Style36"/>
        <w:keepNext w:val="0"/>
        <w:keepLines w:val="0"/>
        <w:widowControl w:val="0"/>
        <w:shd w:val="clear" w:color="auto" w:fill="auto"/>
        <w:spacing w:before="0" w:after="0" w:line="240" w:lineRule="auto"/>
        <w:ind w:left="0" w:right="0" w:firstLine="340"/>
        <w:jc w:val="left"/>
        <w:rPr>
          <w:sz w:val="17"/>
        </w:rPr>
      </w:pPr>
      <w:r>
        <w:rPr>
          <w:rStyle w:val="CharStyle37"/>
          <w:color w:val="303030"/>
          <w:sz w:val="19"/>
        </w:rPr>
        <w:t xml:space="preserve">À partir de: </w:t>
      </w:r>
      <w:r>
        <w:rPr>
          <w:rStyle w:val="CharStyle37"/>
          <w:color w:val="303030"/>
          <w:sz w:val="17"/>
        </w:rPr>
        <w:t xml:space="preserve">Morens, Davi</w:t>
      </w:r>
      <w:r>
        <w:rPr>
          <w:rStyle w:val="CharStyle37"/>
          <w:color w:val="303030"/>
          <w:sz w:val="17"/>
          <w:u w:val="single"/>
        </w:rPr>
        <w:t xml:space="preserve">d (NIH/NIAI</w:t>
      </w:r>
      <w:r>
        <w:rPr>
          <w:rStyle w:val="CharStyle37"/>
          <w:color w:val="303030"/>
          <w:sz w:val="17"/>
        </w:rPr>
        <w:t>D)</w:t>
      </w:r>
    </w:p>
    <w:p>
      <w:pPr>
        <w:pStyle w:val="Style36"/>
        <w:keepNext w:val="0"/>
        <w:keepLines w:val="0"/>
        <w:widowControl w:val="0"/>
        <w:shd w:val="clear" w:color="auto" w:fill="auto"/>
        <w:spacing w:before="0" w:after="460" w:line="240" w:lineRule="auto"/>
        <w:ind w:left="0" w:right="0" w:firstLine="580"/>
        <w:jc w:val="left"/>
        <w:rPr>
          <w:sz w:val="17"/>
        </w:rPr>
      </w:pPr>
      <w:r>
        <w:rPr>
          <w:rStyle w:val="CharStyle37"/>
          <w:color w:val="303030"/>
          <w:sz w:val="19"/>
        </w:rPr>
        <w:t xml:space="preserve">Tn : </w:t>
      </w:r>
      <w:r>
        <w:rPr>
          <w:rStyle w:val="CharStyle37"/>
          <w:color w:val="303030"/>
          <w:sz w:val="17"/>
        </w:rPr>
        <w:t xml:space="preserve">David Morens</w:t>
      </w:r>
      <w:r>
        <w:rPr>
          <w:rStyle w:val="CharStyle37"/>
          <w:color w:val="000000"/>
          <w:sz w:val="17"/>
        </w:rPr>
        <w:t>^^^^^Ba)gLnaiLcan)^^^^^^E^n^Lcom&gt;</w:t>
      </w:r>
    </w:p>
    <w:p>
      <w:pPr>
        <w:pStyle w:val="Style24"/>
        <w:keepNext w:val="0"/>
        <w:keepLines w:val="0"/>
        <w:widowControl w:val="0"/>
        <w:shd w:val="clear" w:color="auto" w:fill="auto"/>
        <w:spacing w:before="0" w:after="1920"/>
        <w:ind w:left="0" w:right="0" w:firstLine="740"/>
        <w:jc w:val="left"/>
      </w:pPr>
      <w:r>
        <w:rPr>
          <w:rStyle w:val="CharStyle25"/>
        </w:rPr>
        <w:t xml:space="preserve">Dans un courriel daté du 7 septembre 2021, le Dr Morens a reçu un projet de courriel officiel et des réponses délibératives à la demande d’un journaliste d’Intercept concernant la subvention NIAID d’EcoHealth. Seize minutes après avoir reçu ce courriel, le Dr Morens l’a transmis au Dr Daszak, au Dr Kessler et au Dr Keusch, et a déclaré qu’il illustrait que «dans les coulisses, NIH [était] en train de défendre EcoHealth».</w:t>
        <w:footnoteReference w:id="398"/>
      </w:r>
    </w:p>
    <w:p>
      <w:pPr>
        <w:pStyle w:val="Style24"/>
        <w:keepNext w:val="0"/>
        <w:keepLines w:val="0"/>
        <w:widowControl w:val="0"/>
        <w:shd w:val="clear" w:color="auto" w:fill="auto"/>
        <w:spacing w:before="0" w:after="22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widowControl w:val="0"/>
        <w:jc w:val="center"/>
        <w:rPr>
          <w:sz w:val="2"/>
        </w:rPr>
      </w:pPr>
      <w:r>
        <w:drawing>
          <wp:inline>
            <wp:extent cx="6022975" cy="7936865"/>
            <wp:docPr id="178" name="Picutre 178"/>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2"/>
                    <a:stretch/>
                  </pic:blipFill>
                  <pic:spPr>
                    <a:xfrm>
                      <a:ext cx="6022975" cy="7936865"/>
                    </a:xfrm>
                    <a:prstGeom prst="rect"/>
                  </pic:spPr>
                </pic:pic>
              </a:graphicData>
            </a:graphic>
          </wp:inline>
        </w:drawing>
      </w:r>
      <w:r>
        <w:br w:type="page"/>
      </w:r>
    </w:p>
    <w:p>
      <w:pPr>
        <w:pStyle w:val="Style18"/>
        <w:keepNext w:val="0"/>
        <w:keepLines w:val="0"/>
        <w:widowControl w:val="0"/>
        <w:shd w:val="clear" w:color="auto" w:fill="auto"/>
        <w:spacing w:before="0" w:after="0" w:line="240" w:lineRule="auto"/>
        <w:ind w:left="0" w:right="0" w:firstLine="200"/>
        <w:jc w:val="left"/>
        <w:rPr>
          <w:sz w:val="16"/>
        </w:rPr>
      </w:pPr>
      <w:r>
        <w:rPr>
          <w:rStyle w:val="CharStyle19"/>
          <w:color w:val="303030"/>
          <w:sz w:val="16"/>
        </w:rPr>
        <w:t xml:space="preserve">À partir de: </w:t>
      </w:r>
      <w:r>
        <w:rPr>
          <w:rStyle w:val="CharStyle19"/>
          <w:color w:val="656361"/>
          <w:sz w:val="16"/>
        </w:rPr>
        <w:t xml:space="preserve">Duuiick, Eliwbelh (Nl</w:t>
      </w:r>
      <w:r>
        <w:rPr>
          <w:rStyle w:val="CharStyle19"/>
          <w:color w:val="464648"/>
          <w:sz w:val="16"/>
        </w:rPr>
        <w:t xml:space="preserve">H/NIA1D) </w:t>
      </w:r>
      <w:r>
        <w:rPr>
          <w:rStyle w:val="CharStyle19"/>
          <w:sz w:val="16"/>
        </w:rPr>
        <w:t>[</w:t>
      </w:r>
      <w:r>
        <w:rPr>
          <w:rStyle w:val="CharStyle19"/>
          <w:color w:val="303030"/>
          <w:sz w:val="16"/>
        </w:rPr>
        <w:t>I</w:t>
      </w:r>
      <w:r>
        <w:rPr>
          <w:rStyle w:val="CharStyle19"/>
          <w:sz w:val="16"/>
        </w:rPr>
        <w:t>]</w:t>
      </w:r>
    </w:p>
    <w:p>
      <w:pPr>
        <w:pStyle w:val="Style18"/>
        <w:keepNext w:val="0"/>
        <w:keepLines w:val="0"/>
        <w:widowControl w:val="0"/>
        <w:shd w:val="clear" w:color="auto" w:fill="auto"/>
        <w:tabs>
          <w:tab w:leader="underscore" w:pos="4419" w:val="left"/>
        </w:tabs>
        <w:spacing w:before="0" w:after="0" w:line="240" w:lineRule="auto"/>
        <w:ind w:left="0" w:right="0" w:firstLine="200"/>
        <w:jc w:val="left"/>
        <w:rPr>
          <w:sz w:val="16"/>
        </w:rPr>
      </w:pPr>
      <w:r>
        <w:rPr>
          <w:rStyle w:val="CharStyle19"/>
          <w:color w:val="464648"/>
          <w:sz w:val="16"/>
        </w:rPr>
        <w:t xml:space="preserve">Envoyé: </w:t>
      </w:r>
      <w:r>
        <w:rPr>
          <w:rStyle w:val="CharStyle19"/>
          <w:color w:val="656361"/>
          <w:sz w:val="16"/>
        </w:rPr>
        <w:t xml:space="preserve">Tuesdav, Septembei </w:t>
      </w:r>
      <w:r>
        <w:rPr>
          <w:rStyle w:val="CharStyle19"/>
          <w:color w:val="464648"/>
          <w:sz w:val="16"/>
        </w:rPr>
        <w:t xml:space="preserve">7, </w:t>
      </w:r>
      <w:r>
        <w:rPr>
          <w:rStyle w:val="CharStyle19"/>
          <w:color w:val="656361"/>
          <w:sz w:val="16"/>
        </w:rPr>
        <w:t>202</w:t>
      </w:r>
      <w:r>
        <w:rPr>
          <w:rStyle w:val="CharStyle19"/>
          <w:color w:val="303030"/>
          <w:sz w:val="16"/>
        </w:rPr>
        <w:t xml:space="preserve">1 </w:t>
      </w:r>
      <w:r>
        <w:rPr>
          <w:rStyle w:val="CharStyle19"/>
          <w:color w:val="464648"/>
          <w:sz w:val="16"/>
        </w:rPr>
        <w:t>2</w:t>
      </w:r>
      <w:r>
        <w:rPr>
          <w:rStyle w:val="CharStyle19"/>
          <w:color w:val="464648"/>
          <w:sz w:val="16"/>
          <w:u w:val="single"/>
        </w:rPr>
        <w:t>1:</w:t>
      </w:r>
      <w:r>
        <w:rPr>
          <w:rStyle w:val="CharStyle19"/>
          <w:color w:val="656361"/>
          <w:sz w:val="16"/>
          <w:u w:val="single"/>
        </w:rPr>
        <w:t xml:space="preserve">13 </w:t>
      </w:r>
      <w:r>
        <w:rPr>
          <w:rStyle w:val="CharStyle19"/>
          <w:color w:val="464648"/>
          <w:sz w:val="16"/>
          <w:u w:val="single"/>
        </w:rPr>
        <w:t>PM</w:t>
      </w:r>
      <w:r>
        <w:rPr>
          <w:rStyle w:val="CharStyle19"/>
          <w:sz w:val="16"/>
        </w:rPr>
        <w:tab/>
      </w:r>
    </w:p>
    <w:p>
      <w:pPr>
        <w:pStyle w:val="Style18"/>
        <w:keepNext w:val="0"/>
        <w:keepLines w:val="0"/>
        <w:widowControl w:val="0"/>
        <w:shd w:val="clear" w:color="auto" w:fill="auto"/>
        <w:spacing w:before="0" w:after="0" w:line="240" w:lineRule="auto"/>
        <w:ind w:left="0" w:right="0" w:firstLine="200"/>
        <w:jc w:val="left"/>
        <w:rPr>
          <w:sz w:val="16"/>
        </w:rPr>
      </w:pPr>
      <w:r>
        <w:rPr>
          <w:rStyle w:val="CharStyle19"/>
          <w:color w:val="303030"/>
          <w:sz w:val="16"/>
        </w:rPr>
        <w:t xml:space="preserve">À l'attention de: </w:t>
      </w:r>
      <w:r>
        <w:rPr>
          <w:rStyle w:val="CharStyle19"/>
          <w:color w:val="656361"/>
          <w:sz w:val="16"/>
        </w:rPr>
        <w:t xml:space="preserve">Embry, Akn(NlH.'MAID) </w:t>
      </w:r>
      <w:r>
        <w:rPr>
          <w:rStyle w:val="CharStyle19"/>
          <w:sz w:val="16"/>
        </w:rPr>
        <w:t xml:space="preserve">[EI^^^^^^^^^^Biaskins. </w:t>
      </w:r>
      <w:r>
        <w:rPr>
          <w:rStyle w:val="CharStyle19"/>
          <w:color w:val="656361"/>
          <w:sz w:val="16"/>
        </w:rPr>
        <w:t xml:space="preserve">Melinda </w:t>
      </w:r>
      <w:r>
        <w:rPr>
          <w:rStyle w:val="CharStyle19"/>
          <w:color w:val="464648"/>
          <w:sz w:val="16"/>
        </w:rPr>
        <w:t xml:space="preserve">(NIH'MAID) </w:t>
      </w:r>
      <w:r>
        <w:rPr>
          <w:rStyle w:val="CharStyle19"/>
          <w:color w:val="656361"/>
          <w:sz w:val="16"/>
        </w:rPr>
        <w:t>LEJ</w:t>
      </w:r>
    </w:p>
    <w:p>
      <w:pPr>
        <w:pStyle w:val="Style18"/>
        <w:keepNext w:val="0"/>
        <w:keepLines w:val="0"/>
        <w:widowControl w:val="0"/>
        <w:shd w:val="clear" w:color="auto" w:fill="auto"/>
        <w:tabs>
          <w:tab w:leader="underscore" w:pos="6879" w:val="left"/>
        </w:tabs>
        <w:spacing w:before="0" w:after="0" w:line="233" w:lineRule="auto"/>
        <w:ind w:left="0" w:right="0" w:firstLine="200"/>
        <w:jc w:val="left"/>
        <w:rPr>
          <w:sz w:val="17"/>
        </w:rPr>
      </w:pPr>
      <w:r>
        <w:rPr>
          <w:rStyle w:val="CharStyle19"/>
          <w:color w:val="464648"/>
          <w:sz w:val="17"/>
        </w:rPr>
        <w:t xml:space="preserve">Seigrade, </w:t>
      </w:r>
      <w:r>
        <w:rPr>
          <w:rStyle w:val="CharStyle19"/>
          <w:color w:val="656361"/>
          <w:sz w:val="17"/>
        </w:rPr>
        <w:t xml:space="preserve">Sara </w:t>
      </w:r>
      <w:r>
        <w:rPr>
          <w:rStyle w:val="CharStyle19"/>
          <w:sz w:val="17"/>
        </w:rPr>
        <w:t xml:space="preserve">(Nlt£MAlD)[ElB^Hm^^ _ _ _ _ _ _ _ _ _ _ _ _ _ _ _ _ _ _ _ _ _ _ _ _ _ _ _ _ _ _ _ _ _ _ _ _ _ _ _ _ _ _ _ _ _ _ _ _ </w:t>
        <w:tab/>
      </w:r>
    </w:p>
    <w:p>
      <w:pPr>
        <w:pStyle w:val="Style18"/>
        <w:keepNext w:val="0"/>
        <w:keepLines w:val="0"/>
        <w:widowControl w:val="0"/>
        <w:shd w:val="clear" w:color="auto" w:fill="auto"/>
        <w:tabs>
          <w:tab w:pos="6879" w:val="left"/>
        </w:tabs>
        <w:spacing w:before="0" w:after="180" w:line="240" w:lineRule="auto"/>
        <w:ind w:left="0" w:right="0" w:firstLine="200"/>
        <w:jc w:val="left"/>
        <w:rPr>
          <w:sz w:val="16"/>
        </w:rPr>
      </w:pPr>
      <w:r>
        <w:rPr>
          <w:rStyle w:val="CharStyle19"/>
          <w:color w:val="464648"/>
          <w:sz w:val="16"/>
          <w:u w:val="single"/>
        </w:rPr>
        <w:t>Ct</w:t>
      </w:r>
      <w:r>
        <w:rPr>
          <w:rStyle w:val="CharStyle19"/>
          <w:color w:val="656361"/>
          <w:sz w:val="16"/>
          <w:u w:val="single"/>
        </w:rPr>
        <w:t xml:space="preserve">: </w:t>
      </w:r>
      <w:r>
        <w:rPr>
          <w:rStyle w:val="CharStyle19"/>
          <w:color w:val="464648"/>
          <w:sz w:val="16"/>
          <w:u w:val="single"/>
        </w:rPr>
        <w:t xml:space="preserve">FOG NIAID</w:t>
      </w:r>
      <w:r>
        <w:rPr>
          <w:rStyle w:val="CharStyle19"/>
          <w:color w:val="464648"/>
          <w:sz w:val="16"/>
        </w:rPr>
        <w:t xml:space="preserve"> </w:t>
      </w:r>
      <w:r>
        <w:rPr>
          <w:rStyle w:val="CharStyle19"/>
          <w:sz w:val="16"/>
          <w:vertAlign w:val="superscript"/>
        </w:rPr>
        <w:t>1</w:t>
      </w:r>
      <w:r>
        <w:rPr>
          <w:rStyle w:val="CharStyle19"/>
          <w:color w:val="303030"/>
          <w:sz w:val="16"/>
          <w:vertAlign w:val="superscript"/>
        </w:rPr>
        <w:t>A</w:t>
      </w:r>
      <w:r>
        <w:rPr>
          <w:rStyle w:val="CharStyle19"/>
          <w:sz w:val="16"/>
          <w:vertAlign w:val="superscript"/>
        </w:rPr>
        <w:t xml:space="preserve">1 </w:t>
      </w:r>
      <w:r>
        <w:rPr>
          <w:rStyle w:val="CharStyle19"/>
          <w:color w:val="464648"/>
          <w:sz w:val="16"/>
          <w:vertAlign w:val="superscript"/>
        </w:rPr>
        <w:t>n</w:t>
      </w:r>
      <w:r>
        <w:rPr>
          <w:rStyle w:val="CharStyle19"/>
          <w:color w:val="464648"/>
          <w:sz w:val="16"/>
        </w:rPr>
        <w:t xml:space="preserve">OCGR NSWR</w:t>
      </w:r>
    </w:p>
    <w:p>
      <w:pPr>
        <w:pStyle w:val="Style18"/>
        <w:keepNext w:val="0"/>
        <w:keepLines w:val="0"/>
        <w:widowControl w:val="0"/>
        <w:shd w:val="clear" w:color="auto" w:fill="auto"/>
        <w:spacing w:before="0" w:after="180" w:line="240" w:lineRule="auto"/>
        <w:ind w:left="0" w:right="0" w:firstLine="200"/>
        <w:jc w:val="left"/>
        <w:rPr>
          <w:sz w:val="16"/>
        </w:rPr>
      </w:pPr>
      <w:r>
        <w:rPr>
          <w:rStyle w:val="CharStyle19"/>
          <w:color w:val="303030"/>
          <w:sz w:val="16"/>
        </w:rPr>
        <w:t xml:space="preserve">Objet: </w:t>
      </w:r>
      <w:r>
        <w:rPr>
          <w:rStyle w:val="CharStyle19"/>
          <w:color w:val="464648"/>
          <w:sz w:val="16"/>
        </w:rPr>
        <w:t xml:space="preserve">Examen urgent: </w:t>
      </w:r>
      <w:r>
        <w:rPr>
          <w:rStyle w:val="CharStyle19"/>
          <w:color w:val="656361"/>
          <w:sz w:val="16"/>
        </w:rPr>
        <w:t xml:space="preserve">Question soulevée </w:t>
      </w:r>
      <w:r>
        <w:rPr>
          <w:rStyle w:val="CharStyle19"/>
          <w:color w:val="464648"/>
          <w:sz w:val="16"/>
        </w:rPr>
        <w:t xml:space="preserve">par la </w:t>
      </w:r>
      <w:r>
        <w:rPr>
          <w:rStyle w:val="CharStyle19"/>
          <w:color w:val="656361"/>
          <w:sz w:val="16"/>
        </w:rPr>
        <w:t xml:space="preserve">proposition de subvention de l'Alliance FroHerlth</w:t>
      </w:r>
    </w:p>
    <w:p>
      <w:pPr>
        <w:pStyle w:val="Style18"/>
        <w:keepNext w:val="0"/>
        <w:keepLines w:val="0"/>
        <w:widowControl w:val="0"/>
        <w:shd w:val="clear" w:color="auto" w:fill="auto"/>
        <w:spacing w:before="0" w:after="0" w:line="240" w:lineRule="auto"/>
        <w:ind w:left="0" w:right="0" w:firstLine="200"/>
        <w:jc w:val="left"/>
        <w:rPr>
          <w:sz w:val="16"/>
        </w:rPr>
      </w:pPr>
      <w:r>
        <w:rPr>
          <w:rStyle w:val="CharStyle19"/>
          <w:color w:val="464648"/>
          <w:sz w:val="16"/>
        </w:rPr>
        <w:t xml:space="preserve">Bon </w:t>
      </w:r>
      <w:r>
        <w:rPr>
          <w:rStyle w:val="CharStyle19"/>
          <w:color w:val="656361"/>
          <w:sz w:val="16"/>
        </w:rPr>
        <w:t>après-midi.</w:t>
      </w:r>
    </w:p>
    <w:p>
      <w:pPr>
        <w:pStyle w:val="Style18"/>
        <w:keepNext w:val="0"/>
        <w:keepLines w:val="0"/>
        <w:widowControl w:val="0"/>
        <w:shd w:val="clear" w:color="auto" w:fill="auto"/>
        <w:spacing w:before="0" w:after="840" w:line="240" w:lineRule="auto"/>
        <w:ind w:left="200" w:right="0" w:firstLine="20"/>
        <w:jc w:val="left"/>
        <w:rPr>
          <w:sz w:val="16"/>
        </w:rPr>
      </w:pPr>
      <w:r>
        <w:rPr>
          <w:rStyle w:val="CharStyle19"/>
          <w:color w:val="656361"/>
          <w:sz w:val="16"/>
        </w:rPr>
        <w:t xml:space="preserve">Nous avons reçu des questions de suivi de The Intercept concernant les documents de recherche du GdF qu’ils ont reçus (enquête complète ci-dessous). </w:t>
      </w:r>
      <w:r>
        <w:rPr>
          <w:rStyle w:val="CharStyle19"/>
          <w:color w:val="464648"/>
          <w:sz w:val="16"/>
        </w:rPr>
        <w:t xml:space="preserve">DMID </w:t>
      </w:r>
      <w:r>
        <w:rPr>
          <w:rStyle w:val="CharStyle19"/>
          <w:color w:val="656361"/>
          <w:sz w:val="16"/>
        </w:rPr>
        <w:t xml:space="preserve">a suggéré </w:t>
      </w:r>
      <w:r>
        <w:rPr>
          <w:rStyle w:val="CharStyle19"/>
          <w:color w:val="464648"/>
          <w:sz w:val="16"/>
        </w:rPr>
        <w:t xml:space="preserve">la </w:t>
      </w:r>
      <w:r>
        <w:rPr>
          <w:rStyle w:val="CharStyle19"/>
          <w:color w:val="656361"/>
          <w:sz w:val="16"/>
        </w:rPr>
        <w:t xml:space="preserve">formulation suivante </w:t>
      </w:r>
      <w:r>
        <w:rPr>
          <w:rStyle w:val="CharStyle19"/>
          <w:color w:val="464648"/>
          <w:sz w:val="16"/>
        </w:rPr>
        <w:t xml:space="preserve">afin de </w:t>
      </w:r>
      <w:r>
        <w:rPr>
          <w:rStyle w:val="CharStyle19"/>
          <w:color w:val="656361"/>
          <w:sz w:val="16"/>
        </w:rPr>
        <w:t xml:space="preserve">répondre aux questions du rapporteur. Sa date limite est 17h00 </w:t>
      </w:r>
      <w:r>
        <w:rPr>
          <w:rStyle w:val="CharStyle19"/>
          <w:color w:val="464648"/>
          <w:sz w:val="16"/>
        </w:rPr>
        <w:t xml:space="preserve">aujourd'hui; </w:t>
      </w:r>
      <w:r>
        <w:rPr>
          <w:rStyle w:val="CharStyle19"/>
          <w:color w:val="656361"/>
          <w:sz w:val="16"/>
        </w:rPr>
        <w:t xml:space="preserve"> seriez-vous </w:t>
      </w:r>
      <w:r>
        <w:rPr>
          <w:rStyle w:val="CharStyle19"/>
          <w:color w:val="464648"/>
          <w:sz w:val="16"/>
        </w:rPr>
        <w:t xml:space="preserve">en mesure </w:t>
      </w:r>
      <w:r>
        <w:rPr>
          <w:rStyle w:val="CharStyle19"/>
          <w:color w:val="656361"/>
          <w:sz w:val="16"/>
        </w:rPr>
        <w:t xml:space="preserve">de commenter ces </w:t>
      </w:r>
      <w:r>
        <w:rPr>
          <w:rStyle w:val="CharStyle19"/>
          <w:color w:val="464648"/>
          <w:sz w:val="16"/>
        </w:rPr>
        <w:t xml:space="preserve">projets de </w:t>
      </w:r>
      <w:r>
        <w:rPr>
          <w:rStyle w:val="CharStyle19"/>
          <w:color w:val="656361"/>
          <w:sz w:val="16"/>
        </w:rPr>
        <w:t>réponses?</w:t>
      </w:r>
    </w:p>
    <w:p>
      <w:pPr>
        <w:pStyle w:val="Style18"/>
        <w:keepNext w:val="0"/>
        <w:keepLines w:val="0"/>
        <w:widowControl w:val="0"/>
        <w:shd w:val="clear" w:color="auto" w:fill="auto"/>
        <w:spacing w:before="0" w:after="720" w:line="240" w:lineRule="auto"/>
        <w:ind w:left="0" w:right="0" w:firstLine="0"/>
        <w:jc w:val="right"/>
        <w:rPr>
          <w:sz w:val="20"/>
        </w:rPr>
      </w:pPr>
      <w:r>
        <w:rPr>
          <w:rStyle w:val="CharStyle19"/>
          <w:rFonts w:ascii="Arial" w:hAnsi="Arial" w:cs="Arial" w:eastAsia="Arial"/>
          <w:color w:val="303030"/>
          <w:sz w:val="20"/>
        </w:rPr>
        <w:t>MORENS_SUBPOENA_022209</w:t>
      </w:r>
    </w:p>
    <w:p>
      <w:pPr>
        <w:pStyle w:val="Style18"/>
        <w:keepNext w:val="0"/>
        <w:keepLines w:val="0"/>
        <w:widowControl w:val="0"/>
        <w:shd w:val="clear" w:color="auto" w:fill="auto"/>
        <w:spacing w:before="0" w:after="180" w:line="240" w:lineRule="auto"/>
        <w:ind w:left="0" w:right="0" w:firstLine="520"/>
        <w:jc w:val="left"/>
        <w:rPr>
          <w:sz w:val="16"/>
        </w:rPr>
      </w:pPr>
      <w:r>
        <w:rPr>
          <w:rStyle w:val="CharStyle19"/>
          <w:sz w:val="16"/>
        </w:rPr>
        <w:t xml:space="preserve">• </w:t>
      </w:r>
      <w:r>
        <w:rPr>
          <w:rStyle w:val="CharStyle19"/>
          <w:color w:val="656361"/>
          <w:sz w:val="16"/>
        </w:rPr>
        <w:t>Cela</w:t>
      </w:r>
      <w:r>
        <w:rPr>
          <w:rStyle w:val="CharStyle19"/>
          <w:color w:val="656361"/>
          <w:sz w:val="16"/>
        </w:rPr>
        <w:t xml:space="preserve">correspond-il </w:t>
      </w:r>
      <w:r>
        <w:rPr>
          <w:rStyle w:val="CharStyle19"/>
          <w:color w:val="464648"/>
          <w:sz w:val="16"/>
        </w:rPr>
        <w:t xml:space="preserve">à </w:t>
      </w:r>
      <w:r>
        <w:rPr>
          <w:rStyle w:val="CharStyle19"/>
          <w:color w:val="656361"/>
          <w:sz w:val="16"/>
        </w:rPr>
        <w:t xml:space="preserve"> </w:t>
      </w:r>
      <w:r>
        <w:rPr>
          <w:rStyle w:val="CharStyle19"/>
          <w:color w:val="464648"/>
          <w:sz w:val="16"/>
        </w:rPr>
        <w:t>la</w:t>
      </w:r>
      <w:r>
        <w:rPr>
          <w:rStyle w:val="CharStyle19"/>
          <w:color w:val="656361"/>
          <w:sz w:val="16"/>
        </w:rPr>
        <w:t xml:space="preserve">définition donnée par Ml H </w:t>
      </w:r>
      <w:r>
        <w:rPr>
          <w:rStyle w:val="CharStyle19"/>
          <w:color w:val="464648"/>
          <w:sz w:val="16"/>
        </w:rPr>
        <w:t xml:space="preserve">de </w:t>
      </w:r>
      <w:r>
        <w:rPr>
          <w:rStyle w:val="CharStyle19"/>
          <w:color w:val="464648"/>
          <w:sz w:val="16"/>
        </w:rPr>
        <w:t>(</w:t>
      </w:r>
      <w:r>
        <w:rPr>
          <w:rStyle w:val="CharStyle19"/>
          <w:color w:val="656361"/>
          <w:sz w:val="16"/>
        </w:rPr>
        <w:t xml:space="preserve">iain of Function research?</w:t>
      </w:r>
    </w:p>
    <w:p>
      <w:pPr>
        <w:pStyle w:val="Style18"/>
        <w:keepNext w:val="0"/>
        <w:keepLines w:val="0"/>
        <w:widowControl w:val="0"/>
        <w:numPr>
          <w:ilvl w:val="0"/>
          <w:numId w:val="13"/>
        </w:numPr>
        <w:shd w:val="clear" w:color="auto" w:fill="auto"/>
        <w:tabs>
          <w:tab w:pos="1207" w:val="left"/>
        </w:tabs>
        <w:spacing w:before="0" w:after="180" w:line="240" w:lineRule="auto"/>
        <w:ind w:left="1160" w:right="0" w:hanging="160"/>
        <w:jc w:val="left"/>
        <w:rPr>
          <w:sz w:val="16"/>
        </w:rPr>
      </w:pPr>
      <w:r>
        <w:rPr>
          <w:rStyle w:val="CharStyle19"/>
          <w:color w:val="656361"/>
          <w:sz w:val="16"/>
        </w:rPr>
        <w:t xml:space="preserve">Le </w:t>
      </w:r>
      <w:r>
        <w:rPr>
          <w:rStyle w:val="CharStyle19"/>
          <w:color w:val="464648"/>
          <w:sz w:val="16"/>
        </w:rPr>
        <w:t xml:space="preserve">prix décerné à </w:t>
      </w:r>
      <w:r>
        <w:rPr>
          <w:rStyle w:val="CharStyle19"/>
          <w:color w:val="656361"/>
          <w:sz w:val="16"/>
        </w:rPr>
        <w:t xml:space="preserve">EcoIIealth Alliance a été examiné par </w:t>
      </w:r>
      <w:r>
        <w:rPr>
          <w:rStyle w:val="CharStyle19"/>
          <w:color w:val="464648"/>
          <w:sz w:val="16"/>
        </w:rPr>
        <w:t xml:space="preserve">le NIAID dans le </w:t>
      </w:r>
      <w:r>
        <w:rPr>
          <w:rStyle w:val="CharStyle19"/>
          <w:color w:val="656361"/>
          <w:sz w:val="16"/>
        </w:rPr>
        <w:t xml:space="preserve">contexte </w:t>
      </w:r>
      <w:r>
        <w:rPr>
          <w:rStyle w:val="CharStyle19"/>
          <w:color w:val="464648"/>
          <w:sz w:val="16"/>
        </w:rPr>
        <w:t xml:space="preserve">de la </w:t>
      </w:r>
      <w:r>
        <w:rPr>
          <w:rStyle w:val="CharStyle19"/>
          <w:color w:val="464648"/>
          <w:sz w:val="16"/>
        </w:rPr>
        <w:t xml:space="preserve">pause de financement de la recherche sur le gain de fonction </w:t>
      </w:r>
      <w:r>
        <w:rPr>
          <w:rStyle w:val="CharStyle19"/>
          <w:color w:val="464648"/>
          <w:sz w:val="16"/>
        </w:rPr>
        <w:t xml:space="preserve">et du cadre P3CO subséquent du HHS. </w:t>
      </w:r>
      <w:r>
        <w:rPr>
          <w:rStyle w:val="CharStyle19"/>
          <w:color w:val="656361"/>
          <w:sz w:val="16"/>
        </w:rPr>
        <w:t xml:space="preserve"> </w:t>
      </w:r>
      <w:r>
        <w:rPr>
          <w:rStyle w:val="CharStyle19"/>
          <w:color w:val="464648"/>
          <w:sz w:val="16"/>
        </w:rPr>
        <w:t xml:space="preserve">En 2016. Le NIAID </w:t>
      </w:r>
      <w:r>
        <w:rPr>
          <w:rStyle w:val="CharStyle19"/>
          <w:color w:val="656361"/>
          <w:sz w:val="16"/>
        </w:rPr>
        <w:t xml:space="preserve">a déterminé que le travail n'était </w:t>
      </w:r>
      <w:r>
        <w:rPr>
          <w:rStyle w:val="CharStyle19"/>
          <w:color w:val="464648"/>
          <w:sz w:val="16"/>
        </w:rPr>
        <w:t xml:space="preserve">pas soumis à la pause de recherche du Galn-of-Functlon (GoF) </w:t>
      </w:r>
      <w:r>
        <w:rPr>
          <w:rStyle w:val="CharStyle19"/>
          <w:color w:val="656361"/>
          <w:sz w:val="16"/>
        </w:rPr>
        <w:t xml:space="preserve"> </w:t>
      </w:r>
      <w:r>
        <w:rPr>
          <w:rStyle w:val="CharStyle19"/>
          <w:color w:val="464648"/>
          <w:sz w:val="16"/>
        </w:rPr>
        <w:t xml:space="preserve">parce que </w:t>
      </w:r>
      <w:r>
        <w:rPr>
          <w:rStyle w:val="CharStyle19"/>
          <w:color w:val="656361"/>
          <w:sz w:val="16"/>
        </w:rPr>
        <w:t xml:space="preserve">les chimères proposées </w:t>
      </w:r>
      <w:r>
        <w:rPr>
          <w:rStyle w:val="CharStyle19"/>
          <w:color w:val="464648"/>
          <w:sz w:val="16"/>
        </w:rPr>
        <w:t xml:space="preserve">ne contenaient que </w:t>
      </w:r>
      <w:r>
        <w:rPr>
          <w:rStyle w:val="CharStyle19"/>
          <w:color w:val="656361"/>
          <w:sz w:val="16"/>
        </w:rPr>
        <w:t xml:space="preserve"> </w:t>
      </w:r>
      <w:r>
        <w:rPr>
          <w:rStyle w:val="CharStyle19"/>
          <w:color w:val="464648"/>
          <w:sz w:val="16"/>
        </w:rPr>
        <w:t xml:space="preserve">des glycoprotéines</w:t>
      </w:r>
      <w:r>
        <w:rPr>
          <w:rStyle w:val="CharStyle19"/>
          <w:color w:val="303030"/>
          <w:sz w:val="16"/>
        </w:rPr>
        <w:t xml:space="preserve">S </w:t>
      </w:r>
      <w:r>
        <w:rPr>
          <w:rStyle w:val="CharStyle19"/>
          <w:color w:val="464648"/>
          <w:sz w:val="16"/>
        </w:rPr>
        <w:t xml:space="preserve">provenant de coronavirus de </w:t>
      </w:r>
      <w:r>
        <w:rPr>
          <w:rStyle w:val="CharStyle19"/>
          <w:color w:val="656361"/>
          <w:sz w:val="16"/>
        </w:rPr>
        <w:t xml:space="preserve"> </w:t>
      </w:r>
      <w:r>
        <w:rPr>
          <w:rStyle w:val="CharStyle19"/>
          <w:color w:val="464648"/>
          <w:sz w:val="16"/>
        </w:rPr>
        <w:t xml:space="preserve">chauves-souris </w:t>
      </w:r>
      <w:r>
        <w:rPr>
          <w:rStyle w:val="CharStyle19"/>
          <w:color w:val="656361"/>
          <w:sz w:val="16"/>
        </w:rPr>
        <w:t xml:space="preserve">éloignés, </w:t>
      </w:r>
      <w:r>
        <w:rPr>
          <w:rStyle w:val="CharStyle19"/>
          <w:color w:val="464648"/>
          <w:sz w:val="16"/>
        </w:rPr>
        <w:t xml:space="preserve">et aussi </w:t>
      </w:r>
      <w:r>
        <w:rPr>
          <w:rStyle w:val="CharStyle19"/>
          <w:color w:val="656361"/>
          <w:sz w:val="16"/>
        </w:rPr>
        <w:t xml:space="preserve">parce que les données </w:t>
      </w:r>
      <w:r>
        <w:rPr>
          <w:rStyle w:val="CharStyle19"/>
          <w:color w:val="464648"/>
          <w:sz w:val="16"/>
        </w:rPr>
        <w:t xml:space="preserve">contemporaines </w:t>
      </w:r>
      <w:r>
        <w:rPr>
          <w:rStyle w:val="CharStyle19"/>
          <w:color w:val="656361"/>
          <w:sz w:val="16"/>
        </w:rPr>
        <w:t xml:space="preserve">publiées </w:t>
      </w:r>
      <w:r>
        <w:rPr>
          <w:rStyle w:val="CharStyle19"/>
          <w:color w:val="464648"/>
          <w:sz w:val="16"/>
        </w:rPr>
        <w:t xml:space="preserve">au </w:t>
      </w:r>
      <w:r>
        <w:rPr>
          <w:rStyle w:val="CharStyle19"/>
          <w:color w:val="464648"/>
          <w:sz w:val="16"/>
        </w:rPr>
        <w:t xml:space="preserve">moment </w:t>
      </w:r>
      <w:r>
        <w:rPr>
          <w:rStyle w:val="CharStyle19"/>
          <w:color w:val="303030"/>
          <w:sz w:val="16"/>
        </w:rPr>
        <w:t xml:space="preserve">de la mort </w:t>
      </w:r>
      <w:r>
        <w:rPr>
          <w:rStyle w:val="CharStyle19"/>
          <w:color w:val="656361"/>
          <w:sz w:val="16"/>
        </w:rPr>
        <w:t xml:space="preserve">ont démontré </w:t>
      </w:r>
      <w:r>
        <w:rPr>
          <w:rStyle w:val="CharStyle19"/>
          <w:color w:val="464648"/>
          <w:sz w:val="16"/>
        </w:rPr>
        <w:t xml:space="preserve">que </w:t>
      </w:r>
      <w:r>
        <w:rPr>
          <w:rStyle w:val="CharStyle19"/>
          <w:color w:val="656361"/>
          <w:sz w:val="16"/>
        </w:rPr>
        <w:t xml:space="preserve">des virus chimères </w:t>
      </w:r>
      <w:r>
        <w:rPr>
          <w:rStyle w:val="CharStyle19"/>
          <w:color w:val="464648"/>
          <w:sz w:val="16"/>
        </w:rPr>
        <w:t xml:space="preserve">c </w:t>
      </w:r>
      <w:r>
        <w:rPr>
          <w:rStyle w:val="CharStyle19"/>
          <w:color w:val="656361"/>
          <w:sz w:val="16"/>
        </w:rPr>
        <w:t xml:space="preserve">similaires présentaient une pathogénicité réduite par rapport aux virus de type sauvage. </w:t>
      </w:r>
      <w:r>
        <w:rPr>
          <w:rStyle w:val="CharStyle19"/>
          <w:color w:val="464648"/>
          <w:sz w:val="16"/>
        </w:rPr>
        <w:t xml:space="preserve">Le NIAID </w:t>
      </w:r>
      <w:r>
        <w:rPr>
          <w:rStyle w:val="CharStyle19"/>
          <w:color w:val="656361"/>
          <w:sz w:val="16"/>
        </w:rPr>
        <w:t xml:space="preserve">a par </w:t>
      </w:r>
      <w:r>
        <w:rPr>
          <w:rStyle w:val="CharStyle19"/>
          <w:color w:val="464648"/>
          <w:sz w:val="16"/>
        </w:rPr>
        <w:t xml:space="preserve">la suite examiné le travail sur les </w:t>
      </w:r>
      <w:r>
        <w:rPr>
          <w:rStyle w:val="CharStyle19"/>
          <w:color w:val="464648"/>
          <w:sz w:val="16"/>
        </w:rPr>
        <w:t xml:space="preserve">pneus </w:t>
      </w:r>
      <w:r>
        <w:rPr>
          <w:rStyle w:val="CharStyle19"/>
          <w:color w:val="464648"/>
          <w:sz w:val="16"/>
        </w:rPr>
        <w:t xml:space="preserve">dans le </w:t>
      </w:r>
      <w:r>
        <w:rPr>
          <w:rStyle w:val="CharStyle19"/>
          <w:color w:val="656361"/>
          <w:sz w:val="16"/>
        </w:rPr>
        <w:t xml:space="preserve">contexte </w:t>
      </w:r>
      <w:r>
        <w:rPr>
          <w:rStyle w:val="CharStyle19"/>
          <w:color w:val="464648"/>
          <w:sz w:val="16"/>
        </w:rPr>
        <w:t xml:space="preserve">du </w:t>
      </w:r>
      <w:r>
        <w:rPr>
          <w:rStyle w:val="CharStyle19"/>
          <w:color w:val="656361"/>
          <w:sz w:val="16"/>
        </w:rPr>
        <w:t xml:space="preserve">Cadre P3CO et </w:t>
      </w:r>
      <w:r>
        <w:rPr>
          <w:rStyle w:val="CharStyle19"/>
          <w:color w:val="464648"/>
          <w:sz w:val="16"/>
        </w:rPr>
        <w:t xml:space="preserve">a déterminé qu'il n'était pas assujetti au </w:t>
      </w:r>
      <w:r>
        <w:rPr>
          <w:rStyle w:val="CharStyle19"/>
          <w:color w:val="656361"/>
          <w:sz w:val="16"/>
        </w:rPr>
        <w:t>P3CO</w:t>
      </w:r>
      <w:r>
        <w:rPr>
          <w:rStyle w:val="CharStyle19"/>
          <w:color w:val="464648"/>
          <w:sz w:val="16"/>
        </w:rPr>
        <w:t xml:space="preserve">parce que 1) </w:t>
      </w:r>
      <w:r>
        <w:rPr>
          <w:rStyle w:val="CharStyle19"/>
          <w:color w:val="656361"/>
          <w:sz w:val="16"/>
        </w:rPr>
        <w:t xml:space="preserve">le P3CO exige qu'un agent pathogène </w:t>
      </w:r>
      <w:r>
        <w:rPr>
          <w:rStyle w:val="CharStyle19"/>
          <w:color w:val="464648"/>
          <w:sz w:val="16"/>
        </w:rPr>
        <w:t xml:space="preserve">soit hautement </w:t>
      </w:r>
      <w:r>
        <w:rPr>
          <w:rStyle w:val="CharStyle19"/>
          <w:color w:val="656361"/>
          <w:sz w:val="16"/>
        </w:rPr>
        <w:t xml:space="preserve">transmissible et hautement </w:t>
      </w:r>
      <w:r>
        <w:rPr>
          <w:rStyle w:val="CharStyle19"/>
          <w:color w:val="464648"/>
          <w:sz w:val="16"/>
        </w:rPr>
        <w:t xml:space="preserve">pathogène </w:t>
      </w:r>
      <w:r>
        <w:rPr>
          <w:rStyle w:val="CharStyle19"/>
          <w:color w:val="656361"/>
          <w:sz w:val="16"/>
        </w:rPr>
        <w:t xml:space="preserve">chez les humains. </w:t>
      </w:r>
      <w:r>
        <w:rPr>
          <w:rStyle w:val="CharStyle19"/>
          <w:color w:val="464648"/>
          <w:sz w:val="16"/>
        </w:rPr>
        <w:t xml:space="preserve">Ces </w:t>
      </w:r>
      <w:r>
        <w:rPr>
          <w:rStyle w:val="CharStyle19"/>
          <w:color w:val="656361"/>
          <w:sz w:val="16"/>
        </w:rPr>
        <w:t xml:space="preserve"> </w:t>
      </w:r>
      <w:r>
        <w:rPr>
          <w:rStyle w:val="CharStyle19"/>
          <w:color w:val="464648"/>
          <w:sz w:val="16"/>
        </w:rPr>
        <w:t xml:space="preserve">travaux </w:t>
      </w:r>
      <w:r>
        <w:rPr>
          <w:rStyle w:val="CharStyle19"/>
          <w:color w:val="656361"/>
          <w:sz w:val="16"/>
        </w:rPr>
        <w:t xml:space="preserve">chimériques effectués dans les épines dorsales de CoV animaux ou de CoV adaptés à la souris (par exemple </w:t>
      </w:r>
      <w:r>
        <w:rPr>
          <w:rStyle w:val="CharStyle19"/>
          <w:color w:val="464648"/>
          <w:sz w:val="16"/>
        </w:rPr>
        <w:t xml:space="preserve">dans W1V1 </w:t>
      </w:r>
      <w:r>
        <w:rPr>
          <w:rStyle w:val="CharStyle19"/>
          <w:color w:val="656361"/>
          <w:sz w:val="16"/>
        </w:rPr>
        <w:t xml:space="preserve">ou SARS-CoVMA </w:t>
      </w:r>
      <w:r>
        <w:rPr>
          <w:rStyle w:val="CharStyle19"/>
          <w:color w:val="464648"/>
          <w:sz w:val="16"/>
        </w:rPr>
        <w:t xml:space="preserve">15) sont pétfonnés dans les </w:t>
      </w:r>
      <w:r>
        <w:rPr>
          <w:rStyle w:val="CharStyle19"/>
          <w:color w:val="656361"/>
          <w:sz w:val="16"/>
        </w:rPr>
        <w:t xml:space="preserve">épines </w:t>
      </w:r>
      <w:r>
        <w:rPr>
          <w:rStyle w:val="CharStyle19"/>
          <w:color w:val="464648"/>
          <w:sz w:val="16"/>
        </w:rPr>
        <w:t xml:space="preserve">dorsales virales </w:t>
      </w:r>
      <w:r>
        <w:rPr>
          <w:rStyle w:val="CharStyle19"/>
          <w:color w:val="656361"/>
          <w:sz w:val="16"/>
        </w:rPr>
        <w:t xml:space="preserve">incapables </w:t>
      </w:r>
      <w:r>
        <w:rPr>
          <w:rStyle w:val="CharStyle19"/>
          <w:color w:val="464648"/>
          <w:sz w:val="16"/>
        </w:rPr>
        <w:t xml:space="preserve">d’infecter </w:t>
      </w:r>
      <w:r>
        <w:rPr>
          <w:rStyle w:val="CharStyle19"/>
          <w:color w:val="656361"/>
          <w:sz w:val="16"/>
        </w:rPr>
        <w:t xml:space="preserve">facilement les cellules humaines; et 2)l'inséniun des protéines </w:t>
      </w:r>
      <w:r>
        <w:rPr>
          <w:rStyle w:val="CharStyle19"/>
          <w:color w:val="464648"/>
          <w:sz w:val="16"/>
        </w:rPr>
        <w:t xml:space="preserve">spike </w:t>
      </w:r>
      <w:r>
        <w:rPr>
          <w:rStyle w:val="CharStyle19"/>
          <w:color w:val="656361"/>
          <w:sz w:val="16"/>
        </w:rPr>
        <w:t xml:space="preserve">corne des CoV animaux plus éloignés ne devrait pas augmenter la pathogénicité et la transmissibilité chez l'homme</w:t>
      </w:r>
    </w:p>
    <w:p>
      <w:pPr>
        <w:pStyle w:val="Style18"/>
        <w:keepNext w:val="0"/>
        <w:keepLines w:val="0"/>
        <w:widowControl w:val="0"/>
        <w:numPr>
          <w:ilvl w:val="0"/>
          <w:numId w:val="13"/>
        </w:numPr>
        <w:shd w:val="clear" w:color="auto" w:fill="auto"/>
        <w:tabs>
          <w:tab w:pos="727" w:val="left"/>
        </w:tabs>
        <w:spacing w:before="0" w:after="180" w:line="240" w:lineRule="auto"/>
        <w:ind w:left="700" w:right="0" w:hanging="180"/>
        <w:jc w:val="left"/>
        <w:rPr>
          <w:sz w:val="16"/>
        </w:rPr>
      </w:pPr>
      <w:r>
        <w:rPr>
          <w:rStyle w:val="CharStyle19"/>
          <w:color w:val="464648"/>
          <w:sz w:val="16"/>
        </w:rPr>
        <w:t xml:space="preserve">Quelqu'un </w:t>
      </w:r>
      <w:r>
        <w:rPr>
          <w:rStyle w:val="CharStyle19"/>
          <w:color w:val="656361"/>
          <w:sz w:val="16"/>
        </w:rPr>
        <w:t xml:space="preserve"> </w:t>
      </w:r>
      <w:r>
        <w:rPr>
          <w:rStyle w:val="CharStyle19"/>
          <w:color w:val="464648"/>
          <w:sz w:val="16"/>
        </w:rPr>
        <w:t xml:space="preserve">chezNIH </w:t>
      </w:r>
      <w:r>
        <w:rPr>
          <w:rStyle w:val="CharStyle19"/>
          <w:color w:val="656361"/>
          <w:sz w:val="16"/>
        </w:rPr>
        <w:t xml:space="preserve">était-il </w:t>
      </w:r>
      <w:r>
        <w:rPr>
          <w:rStyle w:val="CharStyle19"/>
          <w:color w:val="464648"/>
          <w:sz w:val="16"/>
        </w:rPr>
        <w:t xml:space="preserve">au courant </w:t>
      </w:r>
      <w:r>
        <w:rPr>
          <w:rStyle w:val="CharStyle19"/>
          <w:color w:val="303030"/>
          <w:sz w:val="16"/>
        </w:rPr>
        <w:t xml:space="preserve">du </w:t>
      </w:r>
      <w:r>
        <w:rPr>
          <w:rStyle w:val="CharStyle19"/>
          <w:color w:val="464648"/>
          <w:sz w:val="16"/>
        </w:rPr>
        <w:t xml:space="preserve"> </w:t>
      </w:r>
      <w:r>
        <w:rPr>
          <w:rStyle w:val="CharStyle19"/>
          <w:color w:val="656361"/>
          <w:sz w:val="16"/>
        </w:rPr>
        <w:t xml:space="preserve">travail </w:t>
      </w:r>
      <w:r>
        <w:rPr>
          <w:rStyle w:val="CharStyle19"/>
          <w:color w:val="464648"/>
          <w:sz w:val="16"/>
        </w:rPr>
        <w:t xml:space="preserve">décrit </w:t>
      </w:r>
      <w:r>
        <w:rPr>
          <w:rStyle w:val="CharStyle19"/>
          <w:color w:val="656361"/>
          <w:sz w:val="16"/>
        </w:rPr>
        <w:t xml:space="preserve">ci-dessus (et dans la mise à jour </w:t>
      </w:r>
      <w:r>
        <w:rPr>
          <w:rStyle w:val="CharStyle19"/>
          <w:color w:val="464648"/>
          <w:sz w:val="16"/>
        </w:rPr>
        <w:t xml:space="preserve">qui </w:t>
      </w:r>
      <w:r>
        <w:rPr>
          <w:rStyle w:val="CharStyle19"/>
          <w:color w:val="656361"/>
          <w:sz w:val="16"/>
        </w:rPr>
        <w:t xml:space="preserve">vous </w:t>
      </w:r>
      <w:r>
        <w:rPr>
          <w:rStyle w:val="CharStyle19"/>
          <w:color w:val="464648"/>
          <w:sz w:val="16"/>
        </w:rPr>
        <w:t xml:space="preserve">a probablement été envoyée</w:t>
      </w:r>
      <w:r>
        <w:rPr>
          <w:rStyle w:val="CharStyle19"/>
          <w:color w:val="303030"/>
          <w:sz w:val="16"/>
        </w:rPr>
        <w:t xml:space="preserve">à </w:t>
      </w:r>
      <w:r>
        <w:rPr>
          <w:rStyle w:val="CharStyle19"/>
          <w:color w:val="464648"/>
          <w:sz w:val="16"/>
        </w:rPr>
        <w:t xml:space="preserve">la fin </w:t>
      </w:r>
      <w:r>
        <w:rPr>
          <w:rStyle w:val="CharStyle19"/>
          <w:color w:val="656361"/>
          <w:sz w:val="16"/>
        </w:rPr>
        <w:t xml:space="preserve">de 2018 </w:t>
      </w:r>
      <w:r>
        <w:rPr>
          <w:rStyle w:val="CharStyle19"/>
          <w:color w:val="464648"/>
          <w:sz w:val="16"/>
        </w:rPr>
        <w:t xml:space="preserve">ou </w:t>
      </w:r>
      <w:r>
        <w:rPr>
          <w:rStyle w:val="CharStyle19"/>
          <w:color w:val="656361"/>
          <w:sz w:val="16"/>
        </w:rPr>
        <w:t xml:space="preserve">au début de 2019)?</w:t>
      </w:r>
    </w:p>
    <w:p>
      <w:pPr>
        <w:pStyle w:val="Style18"/>
        <w:keepNext w:val="0"/>
        <w:keepLines w:val="0"/>
        <w:widowControl w:val="0"/>
        <w:numPr>
          <w:ilvl w:val="0"/>
          <w:numId w:val="13"/>
        </w:numPr>
        <w:shd w:val="clear" w:color="auto" w:fill="auto"/>
        <w:tabs>
          <w:tab w:pos="1202" w:val="left"/>
        </w:tabs>
        <w:spacing w:before="0" w:after="180" w:line="240" w:lineRule="auto"/>
        <w:ind w:left="1160" w:right="0" w:hanging="160"/>
        <w:jc w:val="left"/>
        <w:rPr>
          <w:sz w:val="16"/>
        </w:rPr>
      </w:pPr>
      <w:r>
        <w:rPr>
          <w:rStyle w:val="CharStyle19"/>
          <w:color w:val="464648"/>
          <w:sz w:val="16"/>
        </w:rPr>
        <w:t xml:space="preserve">L'AMM a examiné </w:t>
      </w:r>
      <w:r>
        <w:rPr>
          <w:rStyle w:val="CharStyle19"/>
          <w:color w:val="656361"/>
          <w:sz w:val="16"/>
        </w:rPr>
        <w:t xml:space="preserve">la conformité des travaux à la fois à </w:t>
      </w:r>
      <w:r>
        <w:rPr>
          <w:rStyle w:val="CharStyle19"/>
          <w:color w:val="464648"/>
          <w:sz w:val="16"/>
        </w:rPr>
        <w:t xml:space="preserve">la </w:t>
      </w:r>
      <w:r>
        <w:rPr>
          <w:rStyle w:val="CharStyle19"/>
          <w:color w:val="656361"/>
          <w:sz w:val="16"/>
        </w:rPr>
        <w:t xml:space="preserve">pause de financement </w:t>
      </w:r>
      <w:r>
        <w:rPr>
          <w:rStyle w:val="CharStyle19"/>
          <w:color w:val="656361"/>
          <w:sz w:val="16"/>
        </w:rPr>
        <w:t xml:space="preserve">de la recherche du GdF </w:t>
      </w:r>
      <w:r>
        <w:rPr>
          <w:rStyle w:val="CharStyle19"/>
          <w:color w:val="656361"/>
          <w:sz w:val="16"/>
        </w:rPr>
        <w:t xml:space="preserve">et au cadre P3CO, tel que </w:t>
      </w:r>
      <w:r>
        <w:rPr>
          <w:rStyle w:val="CharStyle19"/>
          <w:color w:val="464648"/>
          <w:sz w:val="16"/>
        </w:rPr>
        <w:t xml:space="preserve">décrit </w:t>
      </w:r>
      <w:r>
        <w:rPr>
          <w:rStyle w:val="CharStyle19"/>
          <w:color w:val="656361"/>
          <w:sz w:val="16"/>
        </w:rPr>
        <w:t xml:space="preserve">ci-dessus. Les rapports d'étape sont examinés </w:t>
      </w:r>
      <w:r>
        <w:rPr>
          <w:rStyle w:val="CharStyle19"/>
          <w:color w:val="464648"/>
          <w:sz w:val="16"/>
        </w:rPr>
        <w:t xml:space="preserve">et </w:t>
      </w:r>
      <w:r>
        <w:rPr>
          <w:rStyle w:val="CharStyle19"/>
          <w:color w:val="656361"/>
          <w:sz w:val="16"/>
        </w:rPr>
        <w:t xml:space="preserve">approuvés </w:t>
      </w:r>
      <w:r>
        <w:rPr>
          <w:rStyle w:val="CharStyle19"/>
          <w:color w:val="464648"/>
          <w:sz w:val="16"/>
        </w:rPr>
        <w:t xml:space="preserve">chaque année par le personnel du </w:t>
      </w:r>
      <w:r>
        <w:rPr>
          <w:rStyle w:val="CharStyle19"/>
          <w:color w:val="656361"/>
          <w:sz w:val="16"/>
        </w:rPr>
        <w:t xml:space="preserve">NIAID. </w:t>
      </w:r>
    </w:p>
    <w:p>
      <w:pPr>
        <w:pStyle w:val="Style18"/>
        <w:keepNext w:val="0"/>
        <w:keepLines w:val="0"/>
        <w:widowControl w:val="0"/>
        <w:shd w:val="clear" w:color="auto" w:fill="auto"/>
        <w:spacing w:before="0" w:after="180" w:line="240" w:lineRule="auto"/>
        <w:ind w:left="0" w:right="0" w:firstLine="520"/>
        <w:jc w:val="left"/>
        <w:rPr>
          <w:sz w:val="16"/>
        </w:rPr>
      </w:pPr>
      <w:r>
        <w:rPr>
          <w:rStyle w:val="CharStyle19"/>
          <w:color w:val="303030"/>
          <w:sz w:val="16"/>
        </w:rPr>
        <w:t xml:space="preserve">• </w:t>
      </w:r>
      <w:r>
        <w:rPr>
          <w:rStyle w:val="CharStyle19"/>
          <w:color w:val="464648"/>
          <w:sz w:val="16"/>
        </w:rPr>
        <w:t xml:space="preserve">Et si les NIH </w:t>
      </w:r>
      <w:r>
        <w:rPr>
          <w:rStyle w:val="CharStyle19"/>
          <w:color w:val="656361"/>
          <w:sz w:val="16"/>
        </w:rPr>
        <w:t xml:space="preserve">étaient au courant du </w:t>
      </w:r>
      <w:r>
        <w:rPr>
          <w:rStyle w:val="CharStyle19"/>
          <w:color w:val="464648"/>
          <w:sz w:val="16"/>
        </w:rPr>
        <w:t xml:space="preserve">travail, </w:t>
      </w:r>
      <w:r>
        <w:rPr>
          <w:rStyle w:val="CharStyle19"/>
          <w:color w:val="656361"/>
          <w:sz w:val="16"/>
        </w:rPr>
        <w:t xml:space="preserve"> </w:t>
      </w:r>
      <w:r>
        <w:rPr>
          <w:rStyle w:val="CharStyle19"/>
          <w:color w:val="464648"/>
          <w:sz w:val="16"/>
        </w:rPr>
        <w:t xml:space="preserve">pourquoi </w:t>
      </w:r>
      <w:r>
        <w:rPr>
          <w:rStyle w:val="CharStyle19"/>
          <w:color w:val="656361"/>
          <w:sz w:val="16"/>
        </w:rPr>
        <w:t xml:space="preserve">a-t-on décidé de continuer?</w:t>
      </w:r>
    </w:p>
    <w:p>
      <w:pPr>
        <w:pStyle w:val="Style18"/>
        <w:keepNext w:val="0"/>
        <w:keepLines w:val="0"/>
        <w:widowControl w:val="0"/>
        <w:shd w:val="clear" w:color="auto" w:fill="auto"/>
        <w:spacing w:before="0" w:after="0" w:line="240" w:lineRule="auto"/>
        <w:ind w:left="1160" w:right="0" w:hanging="160"/>
        <w:jc w:val="left"/>
        <w:rPr>
          <w:sz w:val="16"/>
        </w:rPr>
      </w:pPr>
      <w:r>
        <w:rPr>
          <w:rStyle w:val="CharStyle19"/>
          <w:color w:val="303030"/>
          <w:sz w:val="16"/>
        </w:rPr>
        <w:t xml:space="preserve">• </w:t>
      </w:r>
      <w:r>
        <w:rPr>
          <w:rStyle w:val="CharStyle19"/>
          <w:color w:val="464648"/>
          <w:sz w:val="16"/>
        </w:rPr>
        <w:t xml:space="preserve">Son </w:t>
      </w:r>
      <w:r>
        <w:rPr>
          <w:rStyle w:val="CharStyle19"/>
          <w:color w:val="656361"/>
          <w:sz w:val="16"/>
        </w:rPr>
        <w:t xml:space="preserve">travail a été autorisé à se poursuivre parce qu'il n'était</w:t>
      </w:r>
      <w:r>
        <w:rPr>
          <w:rStyle w:val="CharStyle19"/>
          <w:color w:val="464648"/>
          <w:sz w:val="16"/>
        </w:rPr>
        <w:t xml:space="preserve">pas raisonnablement prévu </w:t>
      </w:r>
      <w:r>
        <w:rPr>
          <w:rStyle w:val="CharStyle19"/>
          <w:color w:val="656361"/>
          <w:sz w:val="16"/>
        </w:rPr>
        <w:t xml:space="preserve">d'augmenter </w:t>
      </w:r>
      <w:r>
        <w:rPr>
          <w:rStyle w:val="CharStyle19"/>
          <w:color w:val="656361"/>
          <w:sz w:val="16"/>
        </w:rPr>
        <w:t xml:space="preserve">la pathogénicité ou la transmissibilité chez </w:t>
      </w:r>
      <w:r>
        <w:rPr>
          <w:rStyle w:val="CharStyle19"/>
          <w:color w:val="656361"/>
          <w:sz w:val="16"/>
        </w:rPr>
        <w:t>les</w:t>
      </w:r>
      <w:r>
        <w:rPr>
          <w:rStyle w:val="CharStyle19"/>
          <w:color w:val="464648"/>
          <w:sz w:val="16"/>
        </w:rPr>
        <w:t xml:space="preserve">mammifères </w:t>
      </w:r>
      <w:r>
        <w:rPr>
          <w:rStyle w:val="CharStyle19"/>
          <w:color w:val="656361"/>
          <w:sz w:val="16"/>
        </w:rPr>
        <w:t>(pause</w:t>
      </w:r>
      <w:r>
        <w:rPr>
          <w:rStyle w:val="CharStyle19"/>
          <w:color w:val="464648"/>
          <w:sz w:val="16"/>
        </w:rPr>
        <w:t xml:space="preserve">de financement de la recherche sur</w:t>
      </w:r>
      <w:r>
        <w:rPr>
          <w:rStyle w:val="CharStyle19"/>
          <w:color w:val="656361"/>
          <w:sz w:val="16"/>
        </w:rPr>
        <w:t xml:space="preserve">le gain de fonction) </w:t>
      </w:r>
      <w:r>
        <w:rPr>
          <w:rStyle w:val="CharStyle19"/>
          <w:color w:val="464648"/>
          <w:sz w:val="16"/>
        </w:rPr>
        <w:t xml:space="preserve">ou </w:t>
      </w:r>
      <w:r>
        <w:rPr>
          <w:rStyle w:val="CharStyle19"/>
          <w:color w:val="656361"/>
          <w:sz w:val="16"/>
        </w:rPr>
        <w:t xml:space="preserve">chez les humains </w:t>
      </w:r>
      <w:r>
        <w:rPr>
          <w:rStyle w:val="CharStyle19"/>
          <w:color w:val="464648"/>
          <w:sz w:val="16"/>
        </w:rPr>
        <w:t xml:space="preserve">par </w:t>
      </w:r>
      <w:r>
        <w:rPr>
          <w:rStyle w:val="CharStyle19"/>
          <w:color w:val="656361"/>
          <w:sz w:val="16"/>
        </w:rPr>
        <w:t xml:space="preserve">voie respiratoire </w:t>
      </w:r>
      <w:r>
        <w:rPr>
          <w:rStyle w:val="CharStyle19"/>
          <w:color w:val="464648"/>
          <w:sz w:val="16"/>
        </w:rPr>
        <w:t xml:space="preserve">(P3CO). </w:t>
      </w:r>
      <w:r>
        <w:rPr>
          <w:rStyle w:val="CharStyle19"/>
          <w:color w:val="656361"/>
          <w:sz w:val="16"/>
        </w:rPr>
        <w:t xml:space="preserve"> </w:t>
      </w:r>
      <w:r>
        <w:rPr>
          <w:rStyle w:val="CharStyle19"/>
          <w:color w:val="464648"/>
          <w:sz w:val="16"/>
        </w:rPr>
        <w:t xml:space="preserve">Ces </w:t>
      </w:r>
      <w:r>
        <w:rPr>
          <w:rStyle w:val="CharStyle19"/>
          <w:color w:val="656361"/>
          <w:sz w:val="16"/>
        </w:rPr>
        <w:t xml:space="preserve">types </w:t>
      </w:r>
      <w:r>
        <w:rPr>
          <w:rStyle w:val="CharStyle19"/>
          <w:color w:val="464648"/>
          <w:sz w:val="16"/>
        </w:rPr>
        <w:t xml:space="preserve">d'études sont importants pour comprendre si </w:t>
      </w:r>
      <w:r>
        <w:rPr>
          <w:rStyle w:val="CharStyle19"/>
          <w:color w:val="656361"/>
          <w:sz w:val="16"/>
        </w:rPr>
        <w:t xml:space="preserve">les virus </w:t>
      </w:r>
      <w:r>
        <w:rPr>
          <w:rStyle w:val="CharStyle19"/>
          <w:color w:val="656361"/>
          <w:sz w:val="16"/>
        </w:rPr>
        <w:t xml:space="preserve">nouvellement </w:t>
      </w:r>
      <w:r>
        <w:rPr>
          <w:rStyle w:val="CharStyle19"/>
          <w:color w:val="464648"/>
          <w:sz w:val="16"/>
        </w:rPr>
        <w:t xml:space="preserve">découverts </w:t>
      </w:r>
      <w:r>
        <w:rPr>
          <w:rStyle w:val="CharStyle19"/>
          <w:color w:val="464648"/>
          <w:sz w:val="16"/>
        </w:rPr>
        <w:t xml:space="preserve">ont le </w:t>
      </w:r>
      <w:r>
        <w:rPr>
          <w:rStyle w:val="CharStyle19"/>
          <w:color w:val="656361"/>
          <w:sz w:val="16"/>
        </w:rPr>
        <w:t xml:space="preserve">potentiel d'infecter et de causer des </w:t>
      </w:r>
      <w:r>
        <w:rPr>
          <w:rStyle w:val="CharStyle19"/>
          <w:color w:val="464648"/>
          <w:sz w:val="16"/>
        </w:rPr>
        <w:t xml:space="preserve">maladies </w:t>
      </w:r>
      <w:r>
        <w:rPr>
          <w:rStyle w:val="CharStyle19"/>
          <w:color w:val="656361"/>
          <w:sz w:val="16"/>
        </w:rPr>
        <w:t xml:space="preserve">chez l'homme.</w:t>
      </w:r>
    </w:p>
    <w:p>
      <w:pPr>
        <w:pStyle w:val="Style18"/>
        <w:keepNext w:val="0"/>
        <w:keepLines w:val="0"/>
        <w:widowControl w:val="0"/>
        <w:numPr>
          <w:ilvl w:val="0"/>
          <w:numId w:val="15"/>
        </w:numPr>
        <w:shd w:val="clear" w:color="auto" w:fill="auto"/>
        <w:tabs>
          <w:tab w:pos="727" w:val="left"/>
        </w:tabs>
        <w:spacing w:before="0" w:after="0" w:line="240" w:lineRule="auto"/>
        <w:ind w:left="700" w:right="0" w:hanging="180"/>
        <w:jc w:val="left"/>
        <w:rPr>
          <w:sz w:val="16"/>
        </w:rPr>
      </w:pPr>
      <w:r>
        <w:rPr>
          <w:rStyle w:val="CharStyle19"/>
          <w:color w:val="464648"/>
          <w:sz w:val="16"/>
        </w:rPr>
        <w:t xml:space="preserve">Elle </w:t>
      </w:r>
      <w:r>
        <w:rPr>
          <w:rStyle w:val="CharStyle19"/>
          <w:color w:val="656361"/>
          <w:sz w:val="16"/>
        </w:rPr>
        <w:t xml:space="preserve">veut aussi </w:t>
      </w:r>
      <w:r>
        <w:rPr>
          <w:rStyle w:val="CharStyle19"/>
          <w:color w:val="464648"/>
          <w:sz w:val="16"/>
        </w:rPr>
        <w:t xml:space="preserve"> </w:t>
      </w:r>
      <w:r>
        <w:rPr>
          <w:rStyle w:val="CharStyle19"/>
          <w:color w:val="656361"/>
          <w:sz w:val="16"/>
        </w:rPr>
        <w:t xml:space="preserve">savoir: </w:t>
      </w:r>
      <w:r>
        <w:rPr>
          <w:rStyle w:val="CharStyle19"/>
          <w:color w:val="464648"/>
          <w:sz w:val="16"/>
        </w:rPr>
        <w:t xml:space="preserve">«Ce processus décrit </w:t>
      </w:r>
      <w:r>
        <w:rPr>
          <w:rStyle w:val="CharStyle19"/>
          <w:color w:val="656361"/>
          <w:sz w:val="16"/>
        </w:rPr>
        <w:t xml:space="preserve">ci-dessus — l’arrêt </w:t>
      </w:r>
      <w:r>
        <w:rPr>
          <w:rStyle w:val="CharStyle19"/>
          <w:color w:val="464648"/>
          <w:sz w:val="16"/>
        </w:rPr>
        <w:t xml:space="preserve"> </w:t>
      </w:r>
      <w:r>
        <w:rPr>
          <w:rStyle w:val="CharStyle19"/>
          <w:color w:val="656361"/>
          <w:sz w:val="16"/>
        </w:rPr>
        <w:t xml:space="preserve">immédiat du travail </w:t>
      </w:r>
      <w:r>
        <w:rPr>
          <w:rStyle w:val="CharStyle19"/>
          <w:color w:val="464648"/>
          <w:sz w:val="16"/>
        </w:rPr>
        <w:t xml:space="preserve">et </w:t>
      </w:r>
      <w:r>
        <w:rPr>
          <w:rStyle w:val="CharStyle19"/>
          <w:color w:val="656361"/>
          <w:sz w:val="16"/>
        </w:rPr>
        <w:t xml:space="preserve">la notification du spécialiste de la gestion des subventions de l’agent de programme du NIAID </w:t>
      </w:r>
      <w:r>
        <w:rPr>
          <w:rStyle w:val="CharStyle19"/>
          <w:color w:val="464648"/>
          <w:sz w:val="16"/>
        </w:rPr>
        <w:t xml:space="preserve">et </w:t>
      </w:r>
      <w:r>
        <w:rPr>
          <w:rStyle w:val="CharStyle19"/>
          <w:color w:val="656361"/>
          <w:sz w:val="16"/>
        </w:rPr>
        <w:t xml:space="preserve">du comité de sécurité institutionnelle approprié — </w:t>
      </w:r>
      <w:r>
        <w:rPr>
          <w:rStyle w:val="CharStyle19"/>
          <w:color w:val="656361"/>
          <w:sz w:val="16"/>
        </w:rPr>
        <w:t xml:space="preserve">a-t-il </w:t>
      </w:r>
      <w:r>
        <w:rPr>
          <w:rStyle w:val="CharStyle19"/>
          <w:color w:val="656361"/>
          <w:sz w:val="16"/>
        </w:rPr>
        <w:t xml:space="preserve"> </w:t>
      </w:r>
      <w:r>
        <w:rPr>
          <w:rStyle w:val="CharStyle19"/>
          <w:color w:val="656361"/>
          <w:sz w:val="16"/>
        </w:rPr>
        <w:t xml:space="preserve">été mis </w:t>
      </w:r>
      <w:r>
        <w:rPr>
          <w:rStyle w:val="CharStyle19"/>
          <w:color w:val="656361"/>
          <w:sz w:val="16"/>
        </w:rPr>
        <w:t xml:space="preserve">en route sur </w:t>
      </w:r>
      <w:r>
        <w:rPr>
          <w:rStyle w:val="CharStyle19"/>
          <w:color w:val="656361"/>
          <w:sz w:val="16"/>
          <w:u w:val="single"/>
        </w:rPr>
        <w:t xml:space="preserve">le cas dont il a été question précédemment</w:t>
      </w:r>
      <w:r>
        <w:rPr>
          <w:rStyle w:val="CharStyle19"/>
          <w:color w:val="656361"/>
          <w:sz w:val="16"/>
        </w:rPr>
        <w:t xml:space="preserve"> (c’est-à-dire </w:t>
      </w:r>
      <w:r>
        <w:rPr>
          <w:rStyle w:val="CharStyle19"/>
          <w:color w:val="656361"/>
          <w:sz w:val="16"/>
        </w:rPr>
        <w:t xml:space="preserve"> </w:t>
      </w:r>
      <w:r>
        <w:rPr>
          <w:rStyle w:val="CharStyle19"/>
          <w:color w:val="656361"/>
          <w:sz w:val="16"/>
        </w:rPr>
        <w:t xml:space="preserve">le </w:t>
      </w:r>
      <w:r>
        <w:rPr>
          <w:rStyle w:val="CharStyle19"/>
          <w:color w:val="656361"/>
          <w:sz w:val="16"/>
        </w:rPr>
        <w:t xml:space="preserve">cas </w:t>
      </w:r>
      <w:r>
        <w:rPr>
          <w:rStyle w:val="CharStyle19"/>
          <w:color w:val="656361"/>
          <w:sz w:val="16"/>
        </w:rPr>
        <w:t xml:space="preserve">des nouveaux coronavirus reproduisant 100 </w:t>
      </w:r>
      <w:r>
        <w:rPr>
          <w:rStyle w:val="CharStyle19"/>
          <w:color w:val="464648"/>
          <w:sz w:val="16"/>
        </w:rPr>
        <w:t xml:space="preserve"> </w:t>
      </w:r>
      <w:r>
        <w:rPr>
          <w:rStyle w:val="CharStyle19"/>
          <w:color w:val="656361"/>
          <w:sz w:val="16"/>
        </w:rPr>
        <w:t xml:space="preserve">fois le taux par rapport au virus original)?»</w:t>
      </w:r>
    </w:p>
    <w:p>
      <w:pPr>
        <w:pStyle w:val="Style18"/>
        <w:keepNext w:val="0"/>
        <w:keepLines w:val="0"/>
        <w:widowControl w:val="0"/>
        <w:numPr>
          <w:ilvl w:val="0"/>
          <w:numId w:val="15"/>
        </w:numPr>
        <w:shd w:val="clear" w:color="auto" w:fill="auto"/>
        <w:tabs>
          <w:tab w:pos="1202" w:val="left"/>
        </w:tabs>
        <w:spacing w:before="0" w:after="280" w:line="240" w:lineRule="auto"/>
        <w:ind w:left="1160" w:right="0" w:hanging="160"/>
        <w:jc w:val="left"/>
        <w:rPr>
          <w:sz w:val="16"/>
        </w:rPr>
      </w:pPr>
      <w:r>
        <w:rPr>
          <w:rStyle w:val="CharStyle19"/>
          <w:color w:val="656361"/>
          <w:sz w:val="16"/>
        </w:rPr>
        <w:t xml:space="preserve">Il n’est pas exact de dire que les chimères se sont reproduites </w:t>
      </w:r>
      <w:r>
        <w:rPr>
          <w:rStyle w:val="CharStyle19"/>
          <w:color w:val="464648"/>
          <w:sz w:val="16"/>
        </w:rPr>
        <w:t xml:space="preserve">«à </w:t>
      </w:r>
      <w:r>
        <w:rPr>
          <w:rStyle w:val="CharStyle19"/>
          <w:color w:val="656361"/>
          <w:sz w:val="16"/>
        </w:rPr>
        <w:t xml:space="preserve">un </w:t>
      </w:r>
      <w:r>
        <w:rPr>
          <w:rStyle w:val="CharStyle19"/>
          <w:color w:val="464648"/>
          <w:sz w:val="16"/>
        </w:rPr>
        <w:t xml:space="preserve">taux </w:t>
      </w:r>
      <w:r>
        <w:rPr>
          <w:rStyle w:val="CharStyle19"/>
          <w:color w:val="656361"/>
          <w:sz w:val="16"/>
        </w:rPr>
        <w:t xml:space="preserve">de mortalité de 100 fois supérieur à celui du virus initial». Le chiffre auquel </w:t>
      </w:r>
      <w:r>
        <w:rPr>
          <w:rStyle w:val="CharStyle19"/>
          <w:color w:val="464648"/>
          <w:sz w:val="16"/>
        </w:rPr>
        <w:t xml:space="preserve">vous avez </w:t>
      </w:r>
      <w:r>
        <w:rPr>
          <w:rStyle w:val="CharStyle19"/>
          <w:color w:val="656361"/>
          <w:sz w:val="16"/>
        </w:rPr>
        <w:t xml:space="preserve">fait référence démontre clairement </w:t>
      </w:r>
      <w:r>
        <w:rPr>
          <w:rStyle w:val="CharStyle19"/>
          <w:color w:val="464648"/>
          <w:sz w:val="16"/>
        </w:rPr>
        <w:t xml:space="preserve">que </w:t>
      </w:r>
      <w:r>
        <w:rPr>
          <w:rStyle w:val="CharStyle19"/>
          <w:color w:val="303030"/>
          <w:sz w:val="16"/>
        </w:rPr>
        <w:t xml:space="preserve">les </w:t>
      </w:r>
      <w:r>
        <w:rPr>
          <w:rStyle w:val="CharStyle19"/>
          <w:color w:val="464648"/>
          <w:sz w:val="16"/>
        </w:rPr>
        <w:t xml:space="preserve">titres viraux sont </w:t>
      </w:r>
      <w:r>
        <w:rPr>
          <w:rStyle w:val="CharStyle19"/>
          <w:color w:val="464648"/>
          <w:sz w:val="16"/>
        </w:rPr>
        <w:t xml:space="preserve">équivalents </w:t>
      </w:r>
      <w:r>
        <w:rPr>
          <w:rStyle w:val="CharStyle19"/>
          <w:color w:val="303030"/>
          <w:sz w:val="16"/>
        </w:rPr>
        <w:t xml:space="preserve"> </w:t>
      </w:r>
      <w:r>
        <w:rPr>
          <w:rStyle w:val="CharStyle19"/>
          <w:color w:val="656361"/>
          <w:sz w:val="16"/>
        </w:rPr>
        <w:t xml:space="preserve">à </w:t>
      </w:r>
      <w:r>
        <w:rPr>
          <w:rStyle w:val="CharStyle19"/>
          <w:color w:val="464648"/>
          <w:sz w:val="16"/>
        </w:rPr>
        <w:t xml:space="preserve">la </w:t>
      </w:r>
      <w:r>
        <w:rPr>
          <w:rStyle w:val="CharStyle19"/>
          <w:color w:val="656361"/>
          <w:sz w:val="16"/>
        </w:rPr>
        <w:t xml:space="preserve">fin </w:t>
      </w:r>
      <w:r>
        <w:rPr>
          <w:rStyle w:val="CharStyle19"/>
          <w:color w:val="464648"/>
          <w:sz w:val="16"/>
        </w:rPr>
        <w:t xml:space="preserve">de </w:t>
      </w:r>
      <w:r>
        <w:rPr>
          <w:rStyle w:val="CharStyle19"/>
          <w:color w:val="656361"/>
          <w:sz w:val="16"/>
        </w:rPr>
        <w:t xml:space="preserve">la </w:t>
      </w:r>
      <w:r>
        <w:rPr>
          <w:rStyle w:val="CharStyle19"/>
          <w:color w:val="464648"/>
          <w:sz w:val="16"/>
        </w:rPr>
        <w:t xml:space="preserve">période expérimentale. </w:t>
      </w:r>
    </w:p>
    <w:p>
      <w:pPr>
        <w:pStyle w:val="Style18"/>
        <w:keepNext w:val="0"/>
        <w:keepLines w:val="0"/>
        <w:widowControl w:val="0"/>
        <w:shd w:val="clear" w:color="auto" w:fill="auto"/>
        <w:spacing w:before="0" w:after="180" w:line="240" w:lineRule="auto"/>
        <w:ind w:left="400" w:right="0" w:hanging="180"/>
        <w:jc w:val="left"/>
        <w:rPr>
          <w:sz w:val="18"/>
        </w:rPr>
      </w:pPr>
      <w:r>
        <w:rPr>
          <w:rStyle w:val="CharStyle19"/>
          <w:sz w:val="18"/>
        </w:rPr>
        <w:t xml:space="preserve">• </w:t>
      </w:r>
      <w:r>
        <w:rPr>
          <w:rStyle w:val="CharStyle19"/>
          <w:color w:val="656361"/>
          <w:sz w:val="18"/>
        </w:rPr>
        <w:t xml:space="preserve">Enfin, </w:t>
      </w:r>
      <w:r>
        <w:rPr>
          <w:rStyle w:val="CharStyle19"/>
          <w:color w:val="464648"/>
          <w:sz w:val="18"/>
        </w:rPr>
        <w:t>pour</w:t>
      </w:r>
      <w:r>
        <w:rPr>
          <w:rStyle w:val="CharStyle19"/>
          <w:color w:val="656361"/>
          <w:sz w:val="18"/>
        </w:rPr>
        <w:t xml:space="preserve">des raisons de </w:t>
      </w:r>
      <w:r>
        <w:rPr>
          <w:rStyle w:val="CharStyle19"/>
          <w:color w:val="464648"/>
          <w:sz w:val="18"/>
        </w:rPr>
        <w:t xml:space="preserve">sensibilisation, elle a également envoyé une </w:t>
      </w:r>
      <w:r>
        <w:rPr>
          <w:rStyle w:val="CharStyle19"/>
          <w:color w:val="464648"/>
          <w:sz w:val="18"/>
        </w:rPr>
        <w:t xml:space="preserve">dernière note de bas de page que</w:t>
      </w:r>
      <w:r>
        <w:rPr>
          <w:rStyle w:val="CharStyle19"/>
          <w:color w:val="656361"/>
          <w:sz w:val="18"/>
        </w:rPr>
        <w:t xml:space="preserve">je n'ai </w:t>
      </w:r>
      <w:r>
        <w:rPr>
          <w:rStyle w:val="CharStyle19"/>
          <w:color w:val="464648"/>
          <w:sz w:val="18"/>
        </w:rPr>
        <w:t>pas</w:t>
      </w:r>
      <w:r>
        <w:rPr>
          <w:rStyle w:val="CharStyle19"/>
          <w:color w:val="656361"/>
          <w:sz w:val="18"/>
        </w:rPr>
        <w:t xml:space="preserve">encore eu l'occasion d'envoyer</w:t>
      </w:r>
      <w:r>
        <w:rPr>
          <w:rStyle w:val="CharStyle19"/>
          <w:color w:val="464648"/>
          <w:sz w:val="18"/>
        </w:rPr>
        <w:t xml:space="preserve"> </w:t>
      </w:r>
      <w:r>
        <w:rPr>
          <w:rStyle w:val="CharStyle19"/>
          <w:color w:val="656361"/>
          <w:sz w:val="18"/>
        </w:rPr>
        <w:t xml:space="preserve">à Ionin </w:t>
      </w:r>
      <w:r>
        <w:rPr>
          <w:rStyle w:val="CharStyle19"/>
          <w:color w:val="656361"/>
          <w:sz w:val="18"/>
        </w:rPr>
        <w:t xml:space="preserve">après </w:t>
      </w:r>
      <w:r>
        <w:rPr>
          <w:rStyle w:val="CharStyle19"/>
          <w:color w:val="464648"/>
          <w:sz w:val="18"/>
        </w:rPr>
        <w:t xml:space="preserve">le DMID; </w:t>
      </w:r>
      <w:r>
        <w:rPr>
          <w:rStyle w:val="CharStyle19"/>
          <w:color w:val="464648"/>
          <w:sz w:val="18"/>
        </w:rPr>
        <w:t xml:space="preserve"> «Et en fait,</w:t>
      </w:r>
      <w:r>
        <w:rPr>
          <w:rStyle w:val="CharStyle19"/>
          <w:color w:val="656361"/>
          <w:sz w:val="18"/>
        </w:rPr>
        <w:t xml:space="preserve"> </w:t>
      </w:r>
      <w:r>
        <w:rPr>
          <w:rStyle w:val="CharStyle19"/>
          <w:color w:val="464648"/>
          <w:sz w:val="18"/>
        </w:rPr>
        <w:t xml:space="preserve">j’ai trouvé cette déclaration similaire, </w:t>
      </w:r>
      <w:r>
        <w:rPr>
          <w:rStyle w:val="CharStyle19"/>
          <w:color w:val="464648"/>
          <w:sz w:val="18"/>
        </w:rPr>
        <w:t xml:space="preserve">qui a été faite dans le</w:t>
      </w:r>
      <w:r>
        <w:rPr>
          <w:rStyle w:val="CharStyle19"/>
          <w:color w:val="464648"/>
          <w:sz w:val="18"/>
        </w:rPr>
        <w:t xml:space="preserve">NO A de 2017, </w:t>
      </w:r>
      <w:r>
        <w:rPr>
          <w:rStyle w:val="CharStyle19"/>
          <w:color w:val="464648"/>
          <w:sz w:val="18"/>
        </w:rPr>
        <w:t xml:space="preserve">qui </w:t>
      </w:r>
      <w:r>
        <w:rPr>
          <w:rStyle w:val="CharStyle19"/>
          <w:color w:val="656361"/>
          <w:sz w:val="18"/>
        </w:rPr>
        <w:t xml:space="preserve">concernerait la période au cours de laquelle </w:t>
      </w:r>
      <w:r>
        <w:rPr>
          <w:rStyle w:val="CharStyle19"/>
          <w:color w:val="464648"/>
          <w:sz w:val="18"/>
        </w:rPr>
        <w:t xml:space="preserve">la recherche </w:t>
      </w:r>
      <w:r>
        <w:rPr>
          <w:rStyle w:val="CharStyle19"/>
          <w:color w:val="656361"/>
          <w:sz w:val="18"/>
        </w:rPr>
        <w:t xml:space="preserve">était effectuée; </w:t>
      </w:r>
      <w:r>
        <w:rPr>
          <w:rStyle w:val="CharStyle19"/>
          <w:color w:val="464648"/>
          <w:sz w:val="18"/>
        </w:rPr>
        <w:t xml:space="preserve">«Par la lettre datée du</w:t>
      </w:r>
      <w:r>
        <w:rPr>
          <w:rStyle w:val="CharStyle19"/>
          <w:color w:val="656361"/>
          <w:sz w:val="18"/>
        </w:rPr>
        <w:t>7</w:t>
      </w:r>
      <w:r>
        <w:rPr>
          <w:rStyle w:val="CharStyle19"/>
          <w:color w:val="464648"/>
          <w:sz w:val="18"/>
        </w:rPr>
        <w:t xml:space="preserve">juillet 2016 </w:t>
      </w:r>
      <w:r>
        <w:rPr>
          <w:rStyle w:val="CharStyle19"/>
          <w:color w:val="656361"/>
          <w:sz w:val="18"/>
        </w:rPr>
        <w:t xml:space="preserve">adressée à </w:t>
      </w:r>
      <w:r>
        <w:rPr>
          <w:rStyle w:val="CharStyle19"/>
          <w:color w:val="464648"/>
          <w:sz w:val="18"/>
        </w:rPr>
        <w:t xml:space="preserve">M. </w:t>
      </w:r>
      <w:r>
        <w:rPr>
          <w:rStyle w:val="CharStyle19"/>
          <w:color w:val="656361"/>
          <w:sz w:val="18"/>
        </w:rPr>
        <w:t xml:space="preserve">Aleksei Chmttra</w:t>
      </w:r>
      <w:r>
        <w:rPr>
          <w:rStyle w:val="CharStyle19"/>
          <w:color w:val="464648"/>
          <w:sz w:val="18"/>
        </w:rPr>
        <w:t>de</w:t>
      </w:r>
      <w:r>
        <w:rPr>
          <w:rStyle w:val="CharStyle19"/>
          <w:color w:val="656361"/>
          <w:sz w:val="18"/>
        </w:rPr>
        <w:t xml:space="preserve">F.cnHeaith Alliance, </w:t>
      </w:r>
      <w:r>
        <w:rPr>
          <w:rStyle w:val="CharStyle19"/>
          <w:color w:val="464648"/>
          <w:sz w:val="18"/>
        </w:rPr>
        <w:t xml:space="preserve">si </w:t>
      </w:r>
      <w:r>
        <w:rPr>
          <w:rStyle w:val="CharStyle19"/>
          <w:color w:val="464648"/>
          <w:sz w:val="20"/>
        </w:rPr>
        <w:t>l’une</w:t>
      </w:r>
      <w:r>
        <w:rPr>
          <w:rStyle w:val="CharStyle19"/>
          <w:color w:val="656361"/>
          <w:sz w:val="18"/>
        </w:rPr>
        <w:t xml:space="preserve"> </w:t>
      </w:r>
      <w:r>
        <w:rPr>
          <w:rStyle w:val="CharStyle19"/>
          <w:color w:val="656361"/>
          <w:sz w:val="18"/>
        </w:rPr>
        <w:t xml:space="preserve"> </w:t>
      </w:r>
      <w:r>
        <w:rPr>
          <w:rStyle w:val="CharStyle19"/>
          <w:color w:val="464648"/>
          <w:sz w:val="18"/>
        </w:rPr>
        <w:t xml:space="preserve">des </w:t>
      </w:r>
      <w:r>
        <w:rPr>
          <w:rStyle w:val="CharStyle19"/>
          <w:color w:val="656361"/>
          <w:sz w:val="18"/>
        </w:rPr>
        <w:t xml:space="preserve">chimères </w:t>
      </w:r>
      <w:r>
        <w:rPr>
          <w:rStyle w:val="CharStyle19"/>
          <w:color w:val="464648"/>
          <w:sz w:val="18"/>
        </w:rPr>
        <w:t xml:space="preserve">MCRS-Likc ou SARS-Jike générées dans le </w:t>
      </w:r>
      <w:r>
        <w:rPr>
          <w:rStyle w:val="CharStyle19"/>
          <w:color w:val="656361"/>
          <w:sz w:val="18"/>
        </w:rPr>
        <w:t>cadre</w:t>
      </w:r>
      <w:r>
        <w:rPr>
          <w:rStyle w:val="CharStyle19"/>
          <w:color w:val="656361"/>
          <w:sz w:val="18"/>
        </w:rPr>
        <w:t xml:space="preserve">de cette subvention </w:t>
      </w:r>
      <w:r>
        <w:rPr>
          <w:rStyle w:val="CharStyle19"/>
          <w:color w:val="464648"/>
          <w:sz w:val="18"/>
        </w:rPr>
        <w:t xml:space="preserve">montre </w:t>
      </w:r>
      <w:r>
        <w:rPr>
          <w:rStyle w:val="CharStyle19"/>
          <w:color w:val="656361"/>
          <w:sz w:val="18"/>
        </w:rPr>
        <w:t xml:space="preserve">des preuves d’une augmentation du virus supérieure à </w:t>
      </w:r>
      <w:r>
        <w:rPr>
          <w:rStyle w:val="CharStyle19"/>
          <w:sz w:val="18"/>
        </w:rPr>
        <w:t>1</w:t>
      </w:r>
      <w:r>
        <w:rPr>
          <w:rStyle w:val="CharStyle19"/>
          <w:color w:val="464648"/>
          <w:sz w:val="18"/>
        </w:rPr>
        <w:t xml:space="preserve">log sur </w:t>
      </w:r>
      <w:r>
        <w:rPr>
          <w:rStyle w:val="CharStyle19"/>
          <w:color w:val="656361"/>
          <w:sz w:val="18"/>
        </w:rPr>
        <w:t>la</w:t>
      </w:r>
      <w:r>
        <w:rPr>
          <w:rStyle w:val="CharStyle19"/>
          <w:color w:val="464648"/>
          <w:sz w:val="18"/>
        </w:rPr>
        <w:t xml:space="preserve">souche dorsale parentale,</w:t>
      </w:r>
      <w:r>
        <w:rPr>
          <w:rStyle w:val="CharStyle19"/>
          <w:color w:val="656361"/>
          <w:sz w:val="18"/>
        </w:rPr>
        <w:t xml:space="preserve"> </w:t>
      </w:r>
      <w:r>
        <w:rPr>
          <w:rStyle w:val="CharStyle19"/>
          <w:color w:val="464648"/>
          <w:sz w:val="18"/>
        </w:rPr>
        <w:t xml:space="preserve">vous devez arrêter toutes les expériences </w:t>
      </w:r>
      <w:r>
        <w:rPr>
          <w:rStyle w:val="CharStyle19"/>
          <w:color w:val="656361"/>
          <w:sz w:val="18"/>
        </w:rPr>
        <w:t xml:space="preserve">avec </w:t>
      </w:r>
      <w:r>
        <w:rPr>
          <w:rStyle w:val="CharStyle19"/>
          <w:color w:val="464648"/>
          <w:sz w:val="18"/>
        </w:rPr>
        <w:t xml:space="preserve">ces virus et fournir au</w:t>
      </w:r>
      <w:r>
        <w:rPr>
          <w:rStyle w:val="CharStyle19"/>
          <w:color w:val="656361"/>
          <w:sz w:val="18"/>
        </w:rPr>
        <w:t xml:space="preserve">responsable du programme NIAID et au spécialiste</w:t>
      </w:r>
      <w:r>
        <w:rPr>
          <w:rStyle w:val="CharStyle19"/>
          <w:color w:val="464648"/>
          <w:sz w:val="18"/>
        </w:rPr>
        <w:t xml:space="preserve">de la </w:t>
      </w:r>
      <w:r>
        <w:rPr>
          <w:rStyle w:val="CharStyle19"/>
          <w:color w:val="656361"/>
          <w:sz w:val="18"/>
        </w:rPr>
        <w:t xml:space="preserve">gestion des subventions, </w:t>
      </w:r>
      <w:r>
        <w:rPr>
          <w:rStyle w:val="CharStyle19"/>
          <w:color w:val="464648"/>
          <w:sz w:val="18"/>
        </w:rPr>
        <w:t xml:space="preserve">ainsi </w:t>
      </w:r>
      <w:r>
        <w:rPr>
          <w:rStyle w:val="CharStyle19"/>
          <w:color w:val="464648"/>
          <w:sz w:val="18"/>
        </w:rPr>
        <w:t xml:space="preserve">qu’au </w:t>
      </w:r>
      <w:r>
        <w:rPr>
          <w:rStyle w:val="CharStyle19"/>
          <w:color w:val="656361"/>
          <w:sz w:val="18"/>
        </w:rPr>
        <w:t xml:space="preserve">comité institutionnel de biosécurité de l’Institut</w:t>
      </w:r>
      <w:r>
        <w:rPr>
          <w:rStyle w:val="CharStyle19"/>
          <w:color w:val="656361"/>
          <w:sz w:val="18"/>
        </w:rPr>
        <w:t xml:space="preserve">de virologie de </w:t>
      </w:r>
      <w:r>
        <w:rPr>
          <w:rStyle w:val="CharStyle19"/>
          <w:color w:val="656361"/>
          <w:sz w:val="18"/>
        </w:rPr>
        <w:t xml:space="preserve">Wuhan, </w:t>
      </w:r>
      <w:r>
        <w:rPr>
          <w:rStyle w:val="CharStyle19"/>
          <w:sz w:val="18"/>
        </w:rPr>
        <w:t>les</w:t>
      </w:r>
      <w:r>
        <w:rPr>
          <w:rStyle w:val="CharStyle19"/>
          <w:color w:val="464648"/>
          <w:sz w:val="18"/>
        </w:rPr>
        <w:t xml:space="preserve">données </w:t>
      </w:r>
      <w:r>
        <w:rPr>
          <w:rStyle w:val="CharStyle19"/>
          <w:color w:val="656361"/>
          <w:sz w:val="18"/>
        </w:rPr>
        <w:t xml:space="preserve">et </w:t>
      </w:r>
      <w:r>
        <w:rPr>
          <w:rStyle w:val="CharStyle19"/>
          <w:color w:val="464648"/>
          <w:sz w:val="18"/>
        </w:rPr>
        <w:t xml:space="preserve">informations </w:t>
      </w:r>
      <w:r>
        <w:rPr>
          <w:rStyle w:val="CharStyle19"/>
          <w:sz w:val="18"/>
        </w:rPr>
        <w:t xml:space="preserve">pertinentes </w:t>
      </w:r>
      <w:r>
        <w:rPr>
          <w:rStyle w:val="CharStyle19"/>
          <w:color w:val="656361"/>
          <w:sz w:val="18"/>
        </w:rPr>
        <w:t xml:space="preserve">relatives </w:t>
      </w:r>
      <w:r>
        <w:rPr>
          <w:rStyle w:val="CharStyle19"/>
          <w:color w:val="464648"/>
          <w:sz w:val="18"/>
        </w:rPr>
        <w:t xml:space="preserve">à </w:t>
      </w:r>
      <w:r>
        <w:rPr>
          <w:rStyle w:val="CharStyle19"/>
          <w:color w:val="656361"/>
          <w:sz w:val="18"/>
        </w:rPr>
        <w:t xml:space="preserve">ces résultats imprévus. Donc, ma question est </w:t>
      </w:r>
      <w:r>
        <w:rPr>
          <w:rStyle w:val="CharStyle19"/>
          <w:color w:val="464648"/>
          <w:sz w:val="18"/>
        </w:rPr>
        <w:t xml:space="preserve">la </w:t>
      </w:r>
      <w:r>
        <w:rPr>
          <w:rStyle w:val="CharStyle19"/>
          <w:color w:val="656361"/>
          <w:sz w:val="18"/>
        </w:rPr>
        <w:t xml:space="preserve">même, mais se réfère à </w:t>
      </w:r>
      <w:r>
        <w:rPr>
          <w:rStyle w:val="CharStyle19"/>
          <w:color w:val="464648"/>
          <w:sz w:val="18"/>
        </w:rPr>
        <w:t xml:space="preserve">mourir au-dessus </w:t>
      </w:r>
      <w:r>
        <w:rPr>
          <w:rStyle w:val="CharStyle19"/>
          <w:color w:val="656361"/>
          <w:sz w:val="18"/>
        </w:rPr>
        <w:t xml:space="preserve">de l’avertissement: Toutes </w:t>
      </w:r>
      <w:r>
        <w:rPr>
          <w:rStyle w:val="CharStyle19"/>
          <w:color w:val="464648"/>
          <w:sz w:val="18"/>
        </w:rPr>
        <w:t xml:space="preserve">les </w:t>
      </w:r>
      <w:r>
        <w:rPr>
          <w:rStyle w:val="CharStyle19"/>
          <w:color w:val="656361"/>
          <w:sz w:val="18"/>
        </w:rPr>
        <w:t xml:space="preserve">expériences avec </w:t>
      </w:r>
      <w:r>
        <w:rPr>
          <w:rStyle w:val="CharStyle19"/>
          <w:color w:val="464648"/>
          <w:sz w:val="18"/>
        </w:rPr>
        <w:t xml:space="preserve">ces </w:t>
      </w:r>
      <w:r>
        <w:rPr>
          <w:rStyle w:val="CharStyle19"/>
          <w:color w:val="656361"/>
          <w:sz w:val="18"/>
        </w:rPr>
        <w:t xml:space="preserve">virus ont-elles</w:t>
      </w:r>
      <w:r>
        <w:rPr>
          <w:rStyle w:val="CharStyle19"/>
          <w:color w:val="464648"/>
          <w:sz w:val="18"/>
        </w:rPr>
        <w:t xml:space="preserve">été arrêtées</w:t>
      </w:r>
      <w:r>
        <w:rPr>
          <w:rStyle w:val="CharStyle19"/>
          <w:color w:val="656361"/>
          <w:sz w:val="18"/>
        </w:rPr>
        <w:t xml:space="preserve">et </w:t>
      </w:r>
      <w:r>
        <w:rPr>
          <w:rStyle w:val="CharStyle19"/>
          <w:color w:val="464648"/>
          <w:sz w:val="18"/>
        </w:rPr>
        <w:t xml:space="preserve">le WIV a-t-il </w:t>
      </w:r>
      <w:r>
        <w:rPr>
          <w:rStyle w:val="CharStyle19"/>
          <w:color w:val="656361"/>
          <w:sz w:val="18"/>
        </w:rPr>
        <w:t xml:space="preserve">fourni à l'agent de programme</w:t>
      </w:r>
      <w:r>
        <w:rPr>
          <w:rStyle w:val="CharStyle19"/>
          <w:color w:val="464648"/>
          <w:sz w:val="18"/>
        </w:rPr>
        <w:t xml:space="preserve">de l'AMM </w:t>
      </w:r>
      <w:r>
        <w:rPr>
          <w:rStyle w:val="CharStyle19"/>
          <w:color w:val="656361"/>
          <w:sz w:val="18"/>
        </w:rPr>
        <w:t xml:space="preserve">et </w:t>
      </w:r>
      <w:r>
        <w:rPr>
          <w:rStyle w:val="CharStyle19"/>
          <w:color w:val="656361"/>
          <w:sz w:val="18"/>
        </w:rPr>
        <w:t xml:space="preserve">au spécialiste</w:t>
      </w:r>
      <w:r>
        <w:rPr>
          <w:rStyle w:val="CharStyle19"/>
          <w:color w:val="464648"/>
          <w:sz w:val="18"/>
        </w:rPr>
        <w:t xml:space="preserve">de la gestion des subventions, </w:t>
      </w:r>
      <w:r>
        <w:rPr>
          <w:rStyle w:val="CharStyle19"/>
          <w:color w:val="464648"/>
          <w:sz w:val="18"/>
        </w:rPr>
        <w:t xml:space="preserve">ainsi </w:t>
      </w:r>
      <w:r>
        <w:rPr>
          <w:rStyle w:val="CharStyle19"/>
          <w:color w:val="656361"/>
          <w:sz w:val="18"/>
        </w:rPr>
        <w:t>qu'au</w:t>
      </w:r>
      <w:r>
        <w:rPr>
          <w:rStyle w:val="CharStyle19"/>
          <w:color w:val="656361"/>
          <w:sz w:val="18"/>
        </w:rPr>
        <w:t xml:space="preserve">comité institutionnel de biosécurité de l'Institut</w:t>
      </w:r>
      <w:r>
        <w:rPr>
          <w:rStyle w:val="CharStyle19"/>
          <w:color w:val="464648"/>
          <w:sz w:val="18"/>
        </w:rPr>
        <w:t xml:space="preserve"> </w:t>
      </w:r>
      <w:r>
        <w:rPr>
          <w:rStyle w:val="CharStyle19"/>
          <w:color w:val="656361"/>
          <w:sz w:val="18"/>
        </w:rPr>
        <w:t xml:space="preserve">de virologie </w:t>
      </w:r>
      <w:r>
        <w:rPr>
          <w:rStyle w:val="CharStyle19"/>
          <w:color w:val="656361"/>
          <w:sz w:val="18"/>
        </w:rPr>
        <w:t xml:space="preserve">de </w:t>
      </w:r>
      <w:r>
        <w:rPr>
          <w:rStyle w:val="CharStyle19"/>
          <w:color w:val="656361"/>
          <w:sz w:val="18"/>
        </w:rPr>
        <w:t xml:space="preserve">Wuhan, </w:t>
      </w:r>
      <w:r>
        <w:rPr>
          <w:rStyle w:val="CharStyle19"/>
          <w:color w:val="656361"/>
          <w:sz w:val="18"/>
        </w:rPr>
        <w:t xml:space="preserve">les données et</w:t>
      </w:r>
      <w:r>
        <w:rPr>
          <w:rStyle w:val="CharStyle19"/>
          <w:color w:val="464648"/>
          <w:sz w:val="18"/>
        </w:rPr>
        <w:t xml:space="preserve">informations pertinentes </w:t>
      </w:r>
      <w:r>
        <w:rPr>
          <w:rStyle w:val="CharStyle19"/>
          <w:color w:val="656361"/>
          <w:sz w:val="18"/>
        </w:rPr>
        <w:t xml:space="preserve">relatives </w:t>
      </w:r>
      <w:r>
        <w:rPr>
          <w:rStyle w:val="CharStyle19"/>
          <w:color w:val="656361"/>
          <w:sz w:val="18"/>
        </w:rPr>
        <w:t xml:space="preserve">à </w:t>
      </w:r>
      <w:r>
        <w:rPr>
          <w:rStyle w:val="CharStyle19"/>
          <w:color w:val="464648"/>
          <w:sz w:val="18"/>
        </w:rPr>
        <w:t xml:space="preserve">ces </w:t>
      </w:r>
      <w:r>
        <w:rPr>
          <w:rStyle w:val="CharStyle19"/>
          <w:color w:val="464648"/>
          <w:sz w:val="18"/>
        </w:rPr>
        <w:t>résultats</w:t>
      </w:r>
      <w:r>
        <w:rPr>
          <w:rStyle w:val="CharStyle19"/>
          <w:color w:val="656361"/>
          <w:sz w:val="18"/>
        </w:rPr>
        <w:t xml:space="preserve">imprévus? </w:t>
      </w:r>
      <w:r>
        <w:t xml:space="preserve"> </w:t>
      </w:r>
      <w:r>
        <w:br w:type="page"/>
      </w:r>
    </w:p>
    <w:p>
      <w:pPr>
        <w:pStyle w:val="Style24"/>
        <w:keepNext w:val="0"/>
        <w:keepLines w:val="0"/>
        <w:widowControl w:val="0"/>
        <w:shd w:val="clear" w:color="auto" w:fill="auto"/>
        <w:spacing w:before="0" w:after="3020"/>
        <w:ind w:left="0" w:right="0" w:firstLine="740"/>
        <w:jc w:val="left"/>
      </w:pPr>
      <w:r>
        <w:rPr>
          <w:rStyle w:val="CharStyle25"/>
        </w:rPr>
        <w:t xml:space="preserve">Le 11 août 2021, le Dr Morens a reçu un courriel interne contenant un projet de réponse à une lettre envoyée au Dr Fauci par la sénatrice Lindsey Graham (R-S.C.) et le sénateur Paul. </w:t>
        <w:footnoteReference w:id="399"/>
        <w:t xml:space="preserve">Plus tard dans la journée, le Dr Morens a transmis ce courriel au Dr Daszak, au Dr Keusch et au Dr Kessler. </w:t>
        <w:footnoteReference w:id="400"/>
        <w:t xml:space="preserve">Dans un aveu apparent qu’il s’agissait d’un acte répréhensible, le Dr Morens a écrit «strictement CONFIDENTIEL, s’il vous plaît. J’ai corrigé quelques points à cet égard, mais il semble que Tony transmette le bon message ici.»</w:t>
        <w:footnoteReference w:id="401"/>
      </w:r>
    </w:p>
    <w:p>
      <w:pPr>
        <w:pStyle w:val="Style24"/>
        <w:keepNext w:val="0"/>
        <w:keepLines w:val="0"/>
        <w:widowControl w:val="0"/>
        <w:shd w:val="clear" w:color="auto" w:fill="auto"/>
        <w:spacing w:before="0" w:after="0" w:line="240" w:lineRule="auto"/>
        <w:ind w:left="0" w:right="0" w:firstLine="0"/>
        <w:jc w:val="center"/>
        <w:sectPr>
          <w:footerReference w:type="default" r:id="rId94"/>
          <w:footerReference w:type="first" r:id="rId95"/>
          <w:footnotePr>
            <w:pos w:val="pageBottom"/>
            <w:numFmt w:val="decimal"/>
            <w:numStart w:val="1455"/>
            <w:numRestart w:val="continuous"/>
            <w15:footnoteColumns w:val="1"/>
          </w:footnotePr>
          <w:pgSz w:w="12485" w:h="16357"/>
          <w:pgMar w:top="1609" w:right="1523" w:bottom="1569" w:left="1482" w:header="0" w:footer="3" w:gutter="0"/>
          <w:cols w:space="720"/>
          <w:noEndnote/>
          <w:titlePg/>
          <w:rtlGutter w:val="0"/>
          <w:docGrid w:linePitch="360"/>
        </w:sectPr>
      </w:pPr>
      <w:r>
        <w:rPr>
          <w:rStyle w:val="CharStyle25"/>
        </w:rPr>
        <w:t xml:space="preserve">[REMAINDER OF PAGE INTENTIONALLY BLANK]</w:t>
      </w:r>
    </w:p>
    <w:p>
      <w:pPr>
        <w:pStyle w:val="Style24"/>
        <w:keepNext w:val="0"/>
        <w:keepLines w:val="0"/>
        <w:framePr w:w="5760" w:h="288" w:wrap="none" w:hAnchor="page" w:x="3363" w:y="11343"/>
        <w:widowControl w:val="0"/>
        <w:shd w:val="clear" w:color="auto" w:fill="auto"/>
        <w:spacing w:before="0" w:after="0" w:line="240" w:lineRule="auto"/>
        <w:ind w:left="0" w:right="0" w:firstLine="0"/>
        <w:jc w:val="left"/>
      </w:pPr>
      <w:r>
        <w:rPr>
          <w:rStyle w:val="CharStyle25"/>
        </w:rPr>
        <w:t xml:space="preserve">[REMAINDER OF PAGE INTENTIONALLY BLANK]</w:t>
      </w:r>
    </w:p>
    <w:p>
      <w:pPr>
        <w:widowControl w:val="0"/>
        <w:spacing w:line="360" w:lineRule="exact"/>
      </w:pPr>
      <w:r>
        <w:drawing>
          <wp:anchor distT="0" distB="0" distL="0" distR="0" simplePos="0" relativeHeight="62914700" behindDoc="1" locked="0" layoutInCell="1" allowOverlap="1">
            <wp:simplePos x="0" y="0"/>
            <wp:positionH relativeFrom="page">
              <wp:posOffset>974090</wp:posOffset>
            </wp:positionH>
            <wp:positionV relativeFrom="margin">
              <wp:posOffset>0</wp:posOffset>
            </wp:positionV>
            <wp:extent cx="6022975" cy="6504305"/>
            <wp:wrapNone/>
            <wp:docPr id="185" name="Forme 185"/>
            <a:graphic xmlns:a="http://schemas.openxmlformats.org/drawingml/2006/main">
              <a:graphicData uri="http://schemas.openxmlformats.org/drawingml/2006/picture">
                <pic:pic xmlns:pic="http://schemas.openxmlformats.org/drawingml/2006/picture">
                  <pic:nvPicPr>
                    <pic:cNvPr id="186" name="Boîte à images 186"/>
                    <pic:cNvPicPr/>
                  </pic:nvPicPr>
                  <pic:blipFill>
                    <a:blip r:embed="rId96"/>
                    <a:stretch/>
                  </pic:blipFill>
                  <pic:spPr>
                    <a:xfrm>
                      <a:ext cx="6022975" cy="650430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9" w:line="1" w:lineRule="exact"/>
      </w:pPr>
    </w:p>
    <w:p>
      <w:pPr>
        <w:widowControl w:val="0"/>
        <w:spacing w:line="1" w:lineRule="exact"/>
        <w:sectPr>
          <w:footnotePr>
            <w:pos w:val="pageBottom"/>
            <w:numFmt w:val="decimal"/>
            <w:numStart w:val="1455"/>
            <w:numRestart w:val="continuous"/>
            <w15:footnoteColumns w:val="1"/>
          </w:footnotePr>
          <w:pgSz w:w="12485" w:h="16357"/>
          <w:pgMar w:top="1670" w:right="1472" w:bottom="1220" w:left="1534" w:header="0" w:footer="3" w:gutter="0"/>
          <w:cols w:space="720"/>
          <w:noEndnote/>
          <w:rtlGutter w:val="0"/>
          <w:docGrid w:linePitch="360"/>
        </w:sectPr>
      </w:pPr>
    </w:p>
    <w:p>
      <w:pPr>
        <w:pStyle w:val="Style24"/>
        <w:keepNext w:val="0"/>
        <w:keepLines w:val="0"/>
        <w:framePr w:w="3221" w:h="490" w:wrap="none" w:hAnchor="page" w:x="1875" w:y="1"/>
        <w:widowControl w:val="0"/>
        <w:shd w:val="clear" w:color="auto" w:fill="auto"/>
        <w:spacing w:before="0" w:after="0" w:line="240" w:lineRule="auto"/>
        <w:ind w:left="0" w:right="0" w:firstLine="0"/>
        <w:jc w:val="left"/>
      </w:pPr>
      <w:r>
        <w:rPr>
          <w:rStyle w:val="CharStyle25"/>
          <w:color w:val="303030"/>
        </w:rPr>
        <w:t xml:space="preserve">À partir de: </w:t>
      </w:r>
      <w:r>
        <w:rPr>
          <w:rStyle w:val="CharStyle25"/>
          <w:color w:val="464648"/>
        </w:rPr>
        <w:t xml:space="preserve">Hastings, Andrew (NIH/NIAID) </w:t>
      </w:r>
      <w:r>
        <w:rPr>
          <w:rStyle w:val="CharStyle25"/>
        </w:rPr>
        <w:t xml:space="preserve">[E]^^ </w:t>
      </w:r>
      <w:r>
        <w:rPr>
          <w:rStyle w:val="CharStyle25"/>
          <w:color w:val="303030"/>
          <w:sz w:val="16"/>
        </w:rPr>
        <w:t xml:space="preserve">Envoyé: </w:t>
      </w:r>
      <w:r>
        <w:rPr>
          <w:rStyle w:val="CharStyle25"/>
          <w:color w:val="464648"/>
        </w:rPr>
        <w:t xml:space="preserve">Mercredi 11 août</w:t>
      </w:r>
      <w:r>
        <w:rPr>
          <w:rStyle w:val="CharStyle25"/>
          <w:color w:val="303030"/>
        </w:rPr>
        <w:t>2021</w:t>
      </w:r>
      <w:r>
        <w:rPr>
          <w:rStyle w:val="CharStyle25"/>
          <w:color w:val="464648"/>
        </w:rPr>
        <w:t>08:S2</w:t>
      </w:r>
    </w:p>
    <w:p>
      <w:pPr>
        <w:pStyle w:val="Style24"/>
        <w:keepNext w:val="0"/>
        <w:keepLines w:val="0"/>
        <w:framePr w:w="2323" w:h="1066" w:wrap="none" w:hAnchor="page" w:x="3771" w:y="462"/>
        <w:widowControl w:val="0"/>
        <w:shd w:val="clear" w:color="auto" w:fill="auto"/>
        <w:spacing w:before="0" w:after="0" w:line="240" w:lineRule="auto"/>
        <w:ind w:left="0" w:right="0" w:firstLine="200"/>
        <w:jc w:val="left"/>
      </w:pPr>
      <w:r>
        <w:rPr>
          <w:rStyle w:val="CharStyle25"/>
          <w:color w:val="303030"/>
        </w:rPr>
        <w:t>IP1</w:t>
      </w:r>
    </w:p>
    <w:p>
      <w:pPr>
        <w:pStyle w:val="Style36"/>
        <w:keepNext w:val="0"/>
        <w:keepLines w:val="0"/>
        <w:framePr w:w="2323" w:h="1066" w:wrap="none" w:hAnchor="page" w:x="3771" w:y="462"/>
        <w:widowControl w:val="0"/>
        <w:shd w:val="clear" w:color="auto" w:fill="auto"/>
        <w:spacing w:before="0" w:after="0" w:line="269" w:lineRule="auto"/>
        <w:ind w:left="0" w:right="0" w:firstLine="200"/>
        <w:jc w:val="left"/>
      </w:pPr>
      <w:r>
        <w:rPr>
          <w:rStyle w:val="CharStyle37"/>
          <w:color w:val="464648"/>
        </w:rPr>
        <w:t xml:space="preserve">temmy, Erik (NIH/NIAID) [E] ilulach, Barbara (NIH/NIAID) |F]I</w:t>
      </w:r>
    </w:p>
    <w:p>
      <w:pPr>
        <w:pStyle w:val="Style36"/>
        <w:keepNext w:val="0"/>
        <w:keepLines w:val="0"/>
        <w:framePr w:w="2323" w:h="1066" w:wrap="none" w:hAnchor="page" w:x="3771" w:y="462"/>
        <w:widowControl w:val="0"/>
        <w:shd w:val="clear" w:color="auto" w:fill="auto"/>
        <w:spacing w:before="0" w:after="0" w:line="269" w:lineRule="auto"/>
        <w:ind w:left="0" w:right="0" w:firstLine="0"/>
        <w:jc w:val="left"/>
      </w:pPr>
      <w:r>
        <w:rPr>
          <w:rStyle w:val="CharStyle37"/>
          <w:color w:val="464648"/>
        </w:rPr>
        <w:t xml:space="preserve">Linde, Emily (NIH/NIAID)</w:t>
      </w:r>
      <w:r>
        <w:rPr>
          <w:rStyle w:val="CharStyle37"/>
          <w:color w:val="464648"/>
          <w:u w:val="single"/>
        </w:rPr>
        <w:t>|E]</w:t>
      </w:r>
    </w:p>
    <w:p>
      <w:pPr>
        <w:pStyle w:val="Style36"/>
        <w:keepNext w:val="0"/>
        <w:keepLines w:val="0"/>
        <w:framePr w:w="2323" w:h="1066" w:wrap="none" w:hAnchor="page" w:x="3771" w:y="462"/>
        <w:widowControl w:val="0"/>
        <w:shd w:val="clear" w:color="auto" w:fill="auto"/>
        <w:spacing w:before="0" w:after="0" w:line="288" w:lineRule="auto"/>
        <w:ind w:left="0" w:right="0" w:firstLine="0"/>
        <w:jc w:val="left"/>
        <w:rPr>
          <w:sz w:val="15"/>
        </w:rPr>
      </w:pPr>
      <w:r>
        <w:rPr>
          <w:rStyle w:val="CharStyle37"/>
          <w:color w:val="303030"/>
          <w:sz w:val="15"/>
        </w:rPr>
        <w:t xml:space="preserve">MA </w:t>
      </w:r>
      <w:r>
        <w:rPr>
          <w:rStyle w:val="CharStyle37"/>
          <w:color w:val="464648"/>
          <w:sz w:val="15"/>
        </w:rPr>
        <w:t>D</w:t>
      </w:r>
      <w:r>
        <w:rPr>
          <w:rStyle w:val="CharStyle37"/>
          <w:color w:val="303030"/>
          <w:sz w:val="15"/>
        </w:rPr>
        <w:t xml:space="preserve">?IR CCGR</w:t>
      </w:r>
    </w:p>
    <w:p>
      <w:pPr>
        <w:pStyle w:val="Style36"/>
        <w:keepNext w:val="0"/>
        <w:keepLines w:val="0"/>
        <w:framePr w:w="3826" w:h="1042" w:wrap="none" w:hAnchor="page" w:x="6608" w:y="486"/>
        <w:widowControl w:val="0"/>
        <w:shd w:val="clear" w:color="auto" w:fill="auto"/>
        <w:spacing w:before="0" w:after="0" w:line="240" w:lineRule="auto"/>
        <w:ind w:left="0" w:right="0" w:firstLine="0"/>
        <w:jc w:val="left"/>
      </w:pPr>
      <w:r>
        <w:rPr>
          <w:rStyle w:val="CharStyle37"/>
          <w:color w:val="464648"/>
        </w:rPr>
        <w:t xml:space="preserve">lauguel, Teresa (NIH/NIAID) </w:t>
      </w:r>
      <w:r>
        <w:rPr>
          <w:rStyle w:val="CharStyle37"/>
          <w:color w:val="303030"/>
        </w:rPr>
        <w:t>[anglais]</w:t>
      </w:r>
    </w:p>
    <w:p>
      <w:pPr>
        <w:pStyle w:val="Style36"/>
        <w:keepNext w:val="0"/>
        <w:keepLines w:val="0"/>
        <w:framePr w:w="3826" w:h="1042" w:wrap="none" w:hAnchor="page" w:x="6608" w:y="486"/>
        <w:widowControl w:val="0"/>
        <w:shd w:val="clear" w:color="auto" w:fill="auto"/>
        <w:spacing w:before="0" w:after="0" w:line="240" w:lineRule="auto"/>
        <w:ind w:left="0" w:right="0" w:firstLine="0"/>
        <w:jc w:val="left"/>
      </w:pPr>
      <w:r>
        <w:rPr>
          <w:rStyle w:val="CharStyle37"/>
          <w:color w:val="000000"/>
          <w:u w:val="single"/>
        </w:rPr>
        <w:t>^^^^^^^^f,</w:t>
      </w:r>
      <w:r>
        <w:rPr>
          <w:rStyle w:val="CharStyle37"/>
          <w:color w:val="000000"/>
        </w:rPr>
        <w:t xml:space="preserve"> </w:t>
      </w:r>
      <w:r>
        <w:rPr>
          <w:rStyle w:val="CharStyle37"/>
          <w:color w:val="464648"/>
        </w:rPr>
        <w:t xml:space="preserve">Andrew (NIH/NIAID) [El</w:t>
      </w:r>
    </w:p>
    <w:p>
      <w:pPr>
        <w:pStyle w:val="Style36"/>
        <w:keepNext w:val="0"/>
        <w:keepLines w:val="0"/>
        <w:framePr w:w="3826" w:h="1042" w:wrap="none" w:hAnchor="page" w:x="6608" w:y="486"/>
        <w:widowControl w:val="0"/>
        <w:shd w:val="clear" w:color="auto" w:fill="auto"/>
        <w:spacing w:before="0" w:after="0" w:line="240" w:lineRule="auto"/>
        <w:ind w:left="0" w:right="0" w:firstLine="0"/>
        <w:jc w:val="right"/>
        <w:rPr>
          <w:sz w:val="15"/>
        </w:rPr>
      </w:pPr>
      <w:r>
        <w:rPr>
          <w:rStyle w:val="CharStyle37"/>
          <w:rFonts w:ascii="Times New Roman" w:hAnsi="Times New Roman" w:cs="Times New Roman" w:eastAsia="Times New Roman"/>
          <w:smallCaps/>
          <w:color w:val="000000"/>
          <w:sz w:val="15"/>
        </w:rPr>
        <w:t>t</w:t>
      </w:r>
      <w:r>
        <w:rPr>
          <w:rStyle w:val="CharStyle37"/>
          <w:color w:val="000000"/>
          <w:sz w:val="15"/>
        </w:rPr>
        <w:t xml:space="preserve"> </w:t>
      </w:r>
      <w:r>
        <w:rPr>
          <w:rStyle w:val="CharStyle37"/>
          <w:color w:val="303030"/>
          <w:sz w:val="15"/>
        </w:rPr>
        <w:t xml:space="preserve">M.rn^'\H/riiAir;. _ _ _ _ _ </w:t>
      </w:r>
      <w:r>
        <w:rPr>
          <w:rStyle w:val="CharStyle37"/>
          <w:color w:val="000000"/>
          <w:sz w:val="15"/>
        </w:rPr>
        <w:t xml:space="preserve">_ _ _ _ _ _ _ _ _ _ _ _ _ _ _ _ _ _ _ _ _ _ _ _ _ _ _ _ _ _ _ _ _ _ _ _ _</w:t>
      </w:r>
    </w:p>
    <w:p>
      <w:pPr>
        <w:pStyle w:val="Style24"/>
        <w:keepNext w:val="0"/>
        <w:keepLines w:val="0"/>
        <w:framePr w:w="3826" w:h="1042" w:wrap="none" w:hAnchor="page" w:x="6608" w:y="486"/>
        <w:widowControl w:val="0"/>
        <w:shd w:val="clear" w:color="auto" w:fill="auto"/>
        <w:spacing w:before="0" w:after="0" w:line="209" w:lineRule="auto"/>
        <w:ind w:left="0" w:right="0" w:firstLine="260"/>
        <w:jc w:val="left"/>
      </w:pPr>
      <w:r>
        <w:rPr>
          <w:rStyle w:val="CharStyle25"/>
        </w:rPr>
        <w:t xml:space="preserve">. ■Morens. </w:t>
      </w:r>
      <w:r>
        <w:rPr>
          <w:rStyle w:val="CharStyle25"/>
          <w:color w:val="464648"/>
        </w:rPr>
        <w:t>D</w:t>
      </w:r>
      <w:r>
        <w:rPr>
          <w:rStyle w:val="CharStyle25"/>
          <w:color w:val="464648"/>
          <w:u w:val="single"/>
        </w:rPr>
        <w:t xml:space="preserve">avid </w:t>
      </w:r>
      <w:r>
        <w:rPr>
          <w:rStyle w:val="CharStyle25"/>
          <w:color w:val="303030"/>
          <w:u w:val="single"/>
        </w:rPr>
        <w:t xml:space="preserve">(Nih/NIAID) |E]</w:t>
      </w:r>
    </w:p>
    <w:p>
      <w:pPr>
        <w:pStyle w:val="Style24"/>
        <w:keepNext w:val="0"/>
        <w:keepLines w:val="0"/>
        <w:framePr w:w="3826" w:h="1042" w:wrap="none" w:hAnchor="page" w:x="6608" w:y="486"/>
        <w:widowControl w:val="0"/>
        <w:shd w:val="clear" w:color="auto" w:fill="auto"/>
        <w:spacing w:before="0" w:after="0" w:line="190" w:lineRule="auto"/>
        <w:ind w:left="1060" w:right="0" w:firstLine="0"/>
        <w:jc w:val="left"/>
      </w:pPr>
      <w:r>
        <w:rPr>
          <w:rStyle w:val="CharStyle25"/>
        </w:rPr>
        <w:t xml:space="preserve">Un Ri F UM</w:t>
      </w:r>
    </w:p>
    <w:p>
      <w:pPr>
        <w:pStyle w:val="Style24"/>
        <w:keepNext w:val="0"/>
        <w:keepLines w:val="0"/>
        <w:framePr w:w="2189" w:h="461" w:wrap="none" w:hAnchor="page" w:x="1875" w:y="1532"/>
        <w:widowControl w:val="0"/>
        <w:shd w:val="clear" w:color="auto" w:fill="auto"/>
        <w:spacing w:before="0" w:after="0" w:line="240" w:lineRule="auto"/>
        <w:ind w:left="0" w:right="0" w:firstLine="0"/>
        <w:jc w:val="left"/>
      </w:pPr>
      <w:r>
        <w:rPr>
          <w:rStyle w:val="CharStyle25"/>
          <w:color w:val="303030"/>
        </w:rPr>
        <w:t xml:space="preserve">Cc : </w:t>
      </w:r>
      <w:r>
        <w:rPr>
          <w:rStyle w:val="CharStyle25"/>
          <w:color w:val="464648"/>
        </w:rPr>
        <w:t xml:space="preserve">Harper, Jill (NIH/NIIAID)</w:t>
      </w:r>
      <w:r>
        <w:rPr>
          <w:rStyle w:val="CharStyle25"/>
          <w:color w:val="464648"/>
          <w:u w:val="single"/>
        </w:rPr>
        <w:t>(E)</w:t>
      </w:r>
    </w:p>
    <w:p>
      <w:pPr>
        <w:pStyle w:val="Style24"/>
        <w:keepNext w:val="0"/>
        <w:keepLines w:val="0"/>
        <w:framePr w:w="2189" w:h="461" w:wrap="none" w:hAnchor="page" w:x="1875" w:y="1532"/>
        <w:widowControl w:val="0"/>
        <w:shd w:val="clear" w:color="auto" w:fill="auto"/>
        <w:spacing w:before="0" w:after="0" w:line="204" w:lineRule="auto"/>
        <w:ind w:left="0" w:right="0" w:firstLine="0"/>
        <w:jc w:val="left"/>
        <w:rPr>
          <w:sz w:val="14"/>
        </w:rPr>
      </w:pPr>
      <w:r>
        <w:rPr>
          <w:rStyle w:val="CharStyle25"/>
          <w:color w:val="464648"/>
        </w:rPr>
        <w:t xml:space="preserve">Alan (NIH/NIAID) </w:t>
      </w:r>
      <w:r>
        <w:rPr>
          <w:rStyle w:val="CharStyle25"/>
          <w:rFonts w:ascii="Arial" w:hAnsi="Arial" w:cs="Arial" w:eastAsia="Arial"/>
          <w:color w:val="303030"/>
          <w:sz w:val="14"/>
        </w:rPr>
        <w:t>(E)</w:t>
      </w:r>
    </w:p>
    <w:p>
      <w:pPr>
        <w:pStyle w:val="Style24"/>
        <w:keepNext w:val="0"/>
        <w:keepLines w:val="0"/>
        <w:framePr w:w="2990" w:h="456" w:wrap="none" w:hAnchor="page" w:x="5235" w:y="1537"/>
        <w:widowControl w:val="0"/>
        <w:shd w:val="clear" w:color="auto" w:fill="auto"/>
        <w:spacing w:before="0" w:after="0" w:line="206" w:lineRule="auto"/>
        <w:ind w:left="0" w:right="0" w:firstLine="0"/>
        <w:jc w:val="left"/>
        <w:rPr>
          <w:sz w:val="20"/>
        </w:rPr>
      </w:pPr>
      <w:r>
        <w:rPr>
          <w:rStyle w:val="CharStyle25"/>
        </w:rPr>
        <w:t xml:space="preserve">^^^iilet, </w:t>
      </w:r>
      <w:r>
        <w:rPr>
          <w:rStyle w:val="CharStyle25"/>
          <w:color w:val="464648"/>
          <w:u w:val="single"/>
        </w:rPr>
        <w:t xml:space="preserve">Courtney (NIH/NIAID) [E] </w:t>
      </w:r>
      <w:r>
        <w:rPr>
          <w:rStyle w:val="CharStyle25"/>
          <w:smallCaps/>
          <w:color w:val="464648"/>
          <w:sz w:val="20"/>
        </w:rPr>
        <w:t>niwdocgr</w:t>
      </w:r>
      <w:r>
        <w:rPr>
          <w:rStyle w:val="CharStyle25"/>
          <w:color w:val="464648"/>
        </w:rPr>
        <w:t xml:space="preserve"> Jambe</w:t>
      </w:r>
      <w:r>
        <w:rPr>
          <w:rStyle w:val="CharStyle25"/>
          <w:sz w:val="20"/>
          <w:u w:val="single"/>
        </w:rPr>
        <w:t>MMMMMMMI</w:t>
      </w:r>
    </w:p>
    <w:p>
      <w:pPr>
        <w:pStyle w:val="Style24"/>
        <w:keepNext w:val="0"/>
        <w:keepLines w:val="0"/>
        <w:framePr w:w="466" w:h="274" w:wrap="none" w:hAnchor="page" w:x="10059" w:y="1532"/>
        <w:widowControl w:val="0"/>
        <w:shd w:val="clear" w:color="auto" w:fill="auto"/>
        <w:spacing w:before="0" w:after="0" w:line="240" w:lineRule="auto"/>
        <w:ind w:left="0" w:right="0" w:firstLine="0"/>
        <w:jc w:val="left"/>
      </w:pPr>
      <w:r>
        <w:rPr>
          <w:rStyle w:val="CharStyle25"/>
          <w:color w:val="464648"/>
        </w:rPr>
        <w:t>mbry,</w:t>
      </w:r>
    </w:p>
    <w:p>
      <w:pPr>
        <w:widowControl w:val="0"/>
        <w:spacing w:line="360" w:lineRule="exact"/>
      </w:pPr>
      <w:r>
        <w:drawing>
          <wp:anchor distT="0" distB="0" distL="0" distR="0" simplePos="0" relativeHeight="62914701" behindDoc="1" locked="0" layoutInCell="1" allowOverlap="1">
            <wp:simplePos x="0" y="0"/>
            <wp:positionH relativeFrom="page">
              <wp:posOffset>1172210</wp:posOffset>
            </wp:positionH>
            <wp:positionV relativeFrom="margin">
              <wp:posOffset>347345</wp:posOffset>
            </wp:positionV>
            <wp:extent cx="1365250" cy="652145"/>
            <wp:wrapNone/>
            <wp:docPr id="187" name="Forme 187"/>
            <a:graphic xmlns:a="http://schemas.openxmlformats.org/drawingml/2006/main">
              <a:graphicData uri="http://schemas.openxmlformats.org/drawingml/2006/picture">
                <pic:pic xmlns:pic="http://schemas.openxmlformats.org/drawingml/2006/picture">
                  <pic:nvPicPr>
                    <pic:cNvPr id="188" name="Boîte à images 188"/>
                    <pic:cNvPicPr/>
                  </pic:nvPicPr>
                  <pic:blipFill>
                    <a:blip r:embed="rId98"/>
                    <a:stretch/>
                  </pic:blipFill>
                  <pic:spPr>
                    <a:xfrm>
                      <a:ext cx="1365250" cy="65214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551" w:line="1" w:lineRule="exact"/>
      </w:pPr>
    </w:p>
    <w:p>
      <w:pPr>
        <w:widowControl w:val="0"/>
        <w:spacing w:line="1" w:lineRule="exact"/>
        <w:sectPr>
          <w:footnotePr>
            <w:pos w:val="pageBottom"/>
            <w:numFmt w:val="decimal"/>
            <w:numStart w:val="1455"/>
            <w:numRestart w:val="continuous"/>
            <w15:footnoteColumns w:val="1"/>
          </w:footnotePr>
          <w:pgSz w:w="12485" w:h="16357"/>
          <w:pgMar w:top="1948" w:right="1577" w:bottom="1219" w:left="1534" w:header="0" w:footer="3" w:gutter="0"/>
          <w:cols w:space="720"/>
          <w:noEndnote/>
          <w:rtlGutter w:val="0"/>
          <w:docGrid w:linePitch="360"/>
        </w:sectPr>
      </w:pPr>
    </w:p>
    <w:p>
      <w:pPr>
        <w:pStyle w:val="Style36"/>
        <w:keepNext w:val="0"/>
        <w:keepLines w:val="0"/>
        <w:widowControl w:val="0"/>
        <w:shd w:val="clear" w:color="auto" w:fill="auto"/>
        <w:spacing w:before="0" w:after="240" w:line="240" w:lineRule="auto"/>
        <w:ind w:left="0" w:right="0" w:firstLine="300"/>
        <w:jc w:val="left"/>
        <w:rPr>
          <w:sz w:val="15"/>
        </w:rPr>
      </w:pPr>
      <w:r>
        <w:rPr>
          <w:rStyle w:val="CharStyle37"/>
          <w:rFonts w:ascii="Times New Roman" w:hAnsi="Times New Roman" w:cs="Times New Roman" w:eastAsia="Times New Roman"/>
          <w:color w:val="303030"/>
        </w:rPr>
        <w:t xml:space="preserve">Objet: </w:t>
      </w:r>
      <w:r>
        <w:rPr>
          <w:rStyle w:val="CharStyle37"/>
          <w:color w:val="464648"/>
          <w:sz w:val="15"/>
        </w:rPr>
        <w:t xml:space="preserve">Pour avis </w:t>
      </w:r>
      <w:r>
        <w:rPr>
          <w:rStyle w:val="CharStyle37"/>
          <w:color w:val="303030"/>
          <w:sz w:val="15"/>
        </w:rPr>
        <w:t xml:space="preserve">avant 14h </w:t>
      </w:r>
      <w:r>
        <w:rPr>
          <w:rStyle w:val="CharStyle37"/>
          <w:color w:val="464648"/>
          <w:sz w:val="15"/>
        </w:rPr>
        <w:t xml:space="preserve"> </w:t>
      </w:r>
      <w:r>
        <w:rPr>
          <w:rStyle w:val="CharStyle37"/>
          <w:color w:val="303030"/>
          <w:sz w:val="15"/>
        </w:rPr>
        <w:t xml:space="preserve">demain (8/12): </w:t>
      </w:r>
      <w:r>
        <w:rPr>
          <w:rStyle w:val="CharStyle37"/>
          <w:color w:val="464648"/>
          <w:sz w:val="15"/>
        </w:rPr>
        <w:t xml:space="preserve">Lettre au </w:t>
      </w:r>
      <w:r>
        <w:rPr>
          <w:rStyle w:val="CharStyle37"/>
          <w:rFonts w:ascii="Times New Roman" w:hAnsi="Times New Roman" w:cs="Times New Roman" w:eastAsia="Times New Roman"/>
          <w:color w:val="464648"/>
        </w:rPr>
        <w:t xml:space="preserve">Dr Fauci </w:t>
      </w:r>
      <w:r>
        <w:rPr>
          <w:rStyle w:val="CharStyle37"/>
          <w:color w:val="464648"/>
          <w:sz w:val="15"/>
        </w:rPr>
        <w:t xml:space="preserve">des Sens Graham et Paul</w:t>
      </w:r>
    </w:p>
    <w:p>
      <w:pPr>
        <w:pStyle w:val="Style36"/>
        <w:keepNext w:val="0"/>
        <w:keepLines w:val="0"/>
        <w:widowControl w:val="0"/>
        <w:shd w:val="clear" w:color="auto" w:fill="auto"/>
        <w:spacing w:before="0" w:after="200" w:line="283" w:lineRule="auto"/>
        <w:ind w:left="0" w:right="0" w:firstLine="300"/>
        <w:jc w:val="left"/>
      </w:pPr>
      <w:r>
        <w:rPr>
          <w:rStyle w:val="CharStyle37"/>
          <w:color w:val="464648"/>
        </w:rPr>
        <w:t>Bonjour,</w:t>
      </w:r>
    </w:p>
    <w:p>
      <w:pPr>
        <w:pStyle w:val="Style36"/>
        <w:keepNext w:val="0"/>
        <w:keepLines w:val="0"/>
        <w:widowControl w:val="0"/>
        <w:shd w:val="clear" w:color="auto" w:fill="auto"/>
        <w:spacing w:before="0" w:after="0" w:line="240" w:lineRule="auto"/>
        <w:ind w:left="0" w:right="0" w:firstLine="300"/>
        <w:jc w:val="left"/>
        <w:rPr>
          <w:sz w:val="15"/>
        </w:rPr>
      </w:pPr>
      <w:r>
        <w:rPr>
          <w:rStyle w:val="CharStyle37"/>
          <w:b/>
          <w:color w:val="303030"/>
          <w:sz w:val="15"/>
          <w:u w:val="single"/>
        </w:rPr>
        <w:t>Contexte:</w:t>
      </w:r>
    </w:p>
    <w:p>
      <w:pPr>
        <w:pStyle w:val="Style36"/>
        <w:keepNext w:val="0"/>
        <w:keepLines w:val="0"/>
        <w:widowControl w:val="0"/>
        <w:shd w:val="clear" w:color="auto" w:fill="auto"/>
        <w:spacing w:before="0" w:after="200" w:line="283" w:lineRule="auto"/>
        <w:ind w:left="300" w:right="0" w:firstLine="40"/>
        <w:jc w:val="left"/>
      </w:pPr>
      <w:r>
        <w:rPr>
          <w:rStyle w:val="CharStyle37"/>
        </w:rPr>
        <w:t xml:space="preserve">Le Dr Fauci </w:t>
      </w:r>
      <w:r>
        <w:rPr>
          <w:rStyle w:val="CharStyle37"/>
          <w:color w:val="464648"/>
        </w:rPr>
        <w:t xml:space="preserve">a reçu la lettre de l'Exec </w:t>
      </w:r>
      <w:r>
        <w:rPr>
          <w:rStyle w:val="CharStyle37"/>
          <w:color w:val="464648"/>
        </w:rPr>
        <w:t xml:space="preserve">Sec </w:t>
      </w:r>
      <w:r>
        <w:rPr>
          <w:rStyle w:val="CharStyle37"/>
          <w:color w:val="464648"/>
        </w:rPr>
        <w:t xml:space="preserve">ci-jointe </w:t>
      </w:r>
      <w:r>
        <w:rPr>
          <w:rStyle w:val="CharStyle37"/>
        </w:rPr>
        <w:t xml:space="preserve">le </w:t>
      </w:r>
      <w:r>
        <w:rPr>
          <w:rStyle w:val="CharStyle37"/>
          <w:color w:val="464648"/>
        </w:rPr>
        <w:t xml:space="preserve">10 juin</w:t>
      </w:r>
      <w:r>
        <w:rPr>
          <w:rStyle w:val="CharStyle37"/>
          <w:color w:val="464648"/>
          <w:vertAlign w:val="superscript"/>
        </w:rPr>
        <w:t xml:space="preserve">de </w:t>
      </w:r>
      <w:r>
        <w:rPr>
          <w:rStyle w:val="CharStyle37"/>
          <w:color w:val="464648"/>
        </w:rPr>
        <w:t xml:space="preserve">la part </w:t>
      </w:r>
      <w:r>
        <w:rPr>
          <w:rStyle w:val="CharStyle37"/>
          <w:color w:val="464648"/>
        </w:rPr>
        <w:t xml:space="preserve"> des sénateurs Lindsey </w:t>
      </w:r>
      <w:r>
        <w:rPr>
          <w:rStyle w:val="CharStyle37"/>
        </w:rPr>
        <w:t xml:space="preserve">Graham (R-SC) </w:t>
      </w:r>
      <w:r>
        <w:rPr>
          <w:rStyle w:val="CharStyle37"/>
          <w:color w:val="464648"/>
        </w:rPr>
        <w:t xml:space="preserve">et </w:t>
      </w:r>
      <w:r>
        <w:rPr>
          <w:rStyle w:val="CharStyle37"/>
        </w:rPr>
        <w:t xml:space="preserve">Rand </w:t>
      </w:r>
      <w:r>
        <w:rPr>
          <w:rStyle w:val="CharStyle37"/>
          <w:color w:val="464648"/>
        </w:rPr>
        <w:t xml:space="preserve">Paul (R-KY) concernant les origines de la COVID-19 et, plus précisément, les affirmations soulevées dans un commentaire </w:t>
      </w:r>
      <w:r>
        <w:rPr>
          <w:rStyle w:val="CharStyle37"/>
          <w:i/>
          <w:color w:val="464648"/>
        </w:rPr>
        <w:t xml:space="preserve">du Wall Street Journal</w:t>
      </w:r>
      <w:r>
        <w:rPr>
          <w:rStyle w:val="CharStyle37"/>
          <w:color w:val="464648"/>
        </w:rPr>
        <w:t xml:space="preserve"> </w:t>
      </w:r>
      <w:r>
        <w:rPr>
          <w:rStyle w:val="CharStyle37"/>
        </w:rPr>
        <w:t xml:space="preserve">par le </w:t>
      </w:r>
      <w:r>
        <w:rPr>
          <w:rStyle w:val="CharStyle37"/>
          <w:color w:val="464648"/>
        </w:rPr>
        <w:t xml:space="preserve">Dr Fauci. Steven Quay et </w:t>
      </w:r>
      <w:r>
        <w:rPr>
          <w:rStyle w:val="CharStyle37"/>
          <w:color w:val="303030"/>
        </w:rPr>
        <w:t xml:space="preserve">Richard </w:t>
      </w:r>
      <w:r>
        <w:rPr>
          <w:rStyle w:val="CharStyle37"/>
          <w:color w:val="464648"/>
        </w:rPr>
        <w:t xml:space="preserve">Muller (l'article </w:t>
      </w:r>
      <w:r>
        <w:rPr>
          <w:rStyle w:val="CharStyle37"/>
        </w:rPr>
        <w:t xml:space="preserve"> </w:t>
      </w:r>
      <w:r>
        <w:rPr>
          <w:rStyle w:val="CharStyle37"/>
          <w:color w:val="303030"/>
        </w:rPr>
        <w:t xml:space="preserve">est </w:t>
      </w:r>
      <w:r>
        <w:rPr>
          <w:rStyle w:val="CharStyle37"/>
          <w:color w:val="464648"/>
        </w:rPr>
        <w:t xml:space="preserve">joint </w:t>
      </w:r>
      <w:r>
        <w:rPr>
          <w:rStyle w:val="CharStyle37"/>
        </w:rPr>
        <w:t xml:space="preserve">ici pour </w:t>
      </w:r>
      <w:r>
        <w:rPr>
          <w:rStyle w:val="CharStyle37"/>
          <w:color w:val="464648"/>
        </w:rPr>
        <w:t xml:space="preserve">votre </w:t>
      </w:r>
      <w:r>
        <w:rPr>
          <w:rStyle w:val="CharStyle37"/>
        </w:rPr>
        <w:t xml:space="preserve">référence). </w:t>
      </w:r>
      <w:r>
        <w:rPr>
          <w:rStyle w:val="CharStyle37"/>
          <w:color w:val="464648"/>
        </w:rPr>
        <w:t xml:space="preserve">OCGR-Leg a utilisé des documents préalablement approuvés </w:t>
      </w:r>
      <w:r>
        <w:rPr>
          <w:rStyle w:val="CharStyle37"/>
        </w:rPr>
        <w:t xml:space="preserve">pour rédiger </w:t>
      </w:r>
      <w:r>
        <w:rPr>
          <w:rStyle w:val="CharStyle37"/>
          <w:color w:val="464648"/>
        </w:rPr>
        <w:t xml:space="preserve">la lettre de </w:t>
      </w:r>
      <w:r>
        <w:rPr>
          <w:rStyle w:val="CharStyle37"/>
        </w:rPr>
        <w:t xml:space="preserve">réponse ci-jointe. </w:t>
      </w:r>
      <w:r>
        <w:rPr>
          <w:rStyle w:val="CharStyle37"/>
          <w:color w:val="464648"/>
        </w:rPr>
        <w:t xml:space="preserve">Nous </w:t>
      </w:r>
      <w:r>
        <w:rPr>
          <w:rStyle w:val="CharStyle37"/>
        </w:rPr>
        <w:t xml:space="preserve">vous serions reconnaissants </w:t>
      </w:r>
      <w:r>
        <w:rPr>
          <w:rStyle w:val="CharStyle37"/>
          <w:color w:val="464648"/>
        </w:rPr>
        <w:t xml:space="preserve">de nous faire part de votre avis et de vos </w:t>
      </w:r>
      <w:r>
        <w:rPr>
          <w:rStyle w:val="CharStyle37"/>
        </w:rPr>
        <w:t>commentaires.</w:t>
      </w:r>
    </w:p>
    <w:p>
      <w:pPr>
        <w:pStyle w:val="Style39"/>
        <w:keepNext w:val="0"/>
        <w:keepLines w:val="0"/>
        <w:widowControl w:val="0"/>
        <w:shd w:val="clear" w:color="auto" w:fill="auto"/>
        <w:spacing w:before="0" w:after="0" w:line="257" w:lineRule="auto"/>
        <w:ind w:left="0" w:right="0" w:firstLine="300"/>
        <w:jc w:val="left"/>
        <w:rPr>
          <w:sz w:val="18"/>
        </w:rPr>
      </w:pPr>
      <w:r>
        <w:rPr>
          <w:rStyle w:val="CharStyle40"/>
          <w:b/>
          <w:color w:val="303030"/>
          <w:sz w:val="18"/>
          <w:u w:val="single"/>
        </w:rPr>
        <w:t xml:space="preserve">Action :</w:t>
      </w:r>
    </w:p>
    <w:p>
      <w:pPr>
        <w:pStyle w:val="Style36"/>
        <w:keepNext w:val="0"/>
        <w:keepLines w:val="0"/>
        <w:widowControl w:val="0"/>
        <w:shd w:val="clear" w:color="auto" w:fill="auto"/>
        <w:spacing w:before="0" w:after="200" w:line="288" w:lineRule="auto"/>
        <w:ind w:left="300" w:right="0" w:firstLine="40"/>
        <w:jc w:val="left"/>
      </w:pPr>
      <w:r>
        <w:rPr>
          <w:rStyle w:val="CharStyle37"/>
          <w:color w:val="B73C51"/>
        </w:rPr>
        <w:t xml:space="preserve">Au plus tard à 14 h demain, le jeudi 12 août, </w:t>
      </w:r>
      <w:r>
        <w:rPr>
          <w:rStyle w:val="CharStyle37"/>
          <w:color w:val="464648"/>
        </w:rPr>
        <w:t xml:space="preserve">veuillez examiner </w:t>
      </w:r>
      <w:r>
        <w:rPr>
          <w:rStyle w:val="CharStyle37"/>
          <w:color w:val="303030"/>
        </w:rPr>
        <w:t>l'ébauche</w:t>
      </w:r>
      <w:r>
        <w:rPr>
          <w:rStyle w:val="CharStyle37"/>
          <w:color w:val="464648"/>
        </w:rPr>
        <w:t xml:space="preserve">de la </w:t>
      </w:r>
      <w:r>
        <w:rPr>
          <w:rStyle w:val="CharStyle37"/>
          <w:color w:val="303030"/>
        </w:rPr>
        <w:t xml:space="preserve">lettre de réponse ci-jointe et fournir toute modification</w:t>
      </w:r>
      <w:r>
        <w:rPr>
          <w:rStyle w:val="CharStyle37"/>
          <w:color w:val="303030"/>
        </w:rPr>
        <w:t xml:space="preserve">apportée aux </w:t>
      </w:r>
      <w:r>
        <w:rPr>
          <w:rStyle w:val="CharStyle37"/>
          <w:color w:val="303030"/>
        </w:rPr>
        <w:t xml:space="preserve"> </w:t>
      </w:r>
      <w:r>
        <w:rPr>
          <w:rStyle w:val="CharStyle37"/>
          <w:color w:val="464648"/>
        </w:rPr>
        <w:t xml:space="preserve">changements suivis.</w:t>
      </w:r>
    </w:p>
    <w:p>
      <w:pPr>
        <w:pStyle w:val="Style36"/>
        <w:keepNext w:val="0"/>
        <w:keepLines w:val="0"/>
        <w:widowControl w:val="0"/>
        <w:shd w:val="clear" w:color="auto" w:fill="auto"/>
        <w:spacing w:before="0" w:after="200" w:line="276" w:lineRule="auto"/>
        <w:ind w:left="300" w:right="0" w:firstLine="40"/>
        <w:jc w:val="left"/>
      </w:pPr>
      <w:r>
        <w:rPr>
          <w:rStyle w:val="CharStyle37"/>
          <w:color w:val="464648"/>
          <w:u w:val="single"/>
        </w:rPr>
        <w:t xml:space="preserve">S'il vous plaît noter que le public pour cette lettre sont des non-scientifiques et les explications des concepts scientifiques devraient être de très </w:t>
      </w:r>
      <w:r>
        <w:rPr>
          <w:rStyle w:val="CharStyle37"/>
          <w:color w:val="464648"/>
        </w:rPr>
        <w:t xml:space="preserve">haut niveau.</w:t>
      </w:r>
    </w:p>
    <w:p>
      <w:pPr>
        <w:pStyle w:val="Style36"/>
        <w:keepNext w:val="0"/>
        <w:keepLines w:val="0"/>
        <w:widowControl w:val="0"/>
        <w:shd w:val="clear" w:color="auto" w:fill="auto"/>
        <w:spacing w:before="0" w:after="240" w:line="240" w:lineRule="auto"/>
        <w:ind w:left="0" w:right="0" w:firstLine="300"/>
        <w:jc w:val="left"/>
        <w:rPr>
          <w:sz w:val="15"/>
        </w:rPr>
      </w:pPr>
      <w:r>
        <w:rPr>
          <w:rStyle w:val="CharStyle37"/>
          <w:color w:val="464648"/>
          <w:sz w:val="15"/>
        </w:rPr>
        <w:t xml:space="preserve">Faites-moi savoir </w:t>
      </w:r>
      <w:r>
        <w:rPr>
          <w:rStyle w:val="CharStyle37"/>
          <w:color w:val="303030"/>
          <w:sz w:val="15"/>
        </w:rPr>
        <w:t xml:space="preserve">si </w:t>
      </w:r>
      <w:r>
        <w:rPr>
          <w:rStyle w:val="CharStyle37"/>
          <w:color w:val="464648"/>
          <w:sz w:val="15"/>
        </w:rPr>
        <w:t xml:space="preserve">vous avez des questions.</w:t>
      </w:r>
    </w:p>
    <w:p>
      <w:pPr>
        <w:pStyle w:val="Style36"/>
        <w:keepNext w:val="0"/>
        <w:keepLines w:val="0"/>
        <w:widowControl w:val="0"/>
        <w:shd w:val="clear" w:color="auto" w:fill="auto"/>
        <w:spacing w:before="0" w:after="0" w:line="240" w:lineRule="auto"/>
        <w:ind w:left="0" w:right="0" w:firstLine="300"/>
        <w:jc w:val="left"/>
        <w:rPr>
          <w:sz w:val="15"/>
        </w:rPr>
      </w:pPr>
      <w:r>
        <w:rPr>
          <w:rStyle w:val="CharStyle37"/>
          <w:color w:val="464648"/>
          <w:sz w:val="15"/>
        </w:rPr>
        <w:t>Merci,</w:t>
      </w:r>
    </w:p>
    <w:p>
      <w:pPr>
        <w:pStyle w:val="Style36"/>
        <w:keepNext w:val="0"/>
        <w:keepLines w:val="0"/>
        <w:widowControl w:val="0"/>
        <w:shd w:val="clear" w:color="auto" w:fill="auto"/>
        <w:spacing w:before="0" w:after="200" w:line="288" w:lineRule="auto"/>
        <w:ind w:left="0" w:right="0" w:firstLine="300"/>
        <w:jc w:val="left"/>
      </w:pPr>
      <w:r>
        <w:rPr>
          <w:rStyle w:val="CharStyle37"/>
          <w:color w:val="464648"/>
        </w:rPr>
        <w:t>Drew</w:t>
      </w:r>
    </w:p>
    <w:p>
      <w:pPr>
        <w:pStyle w:val="Style36"/>
        <w:keepNext w:val="0"/>
        <w:keepLines w:val="0"/>
        <w:widowControl w:val="0"/>
        <w:shd w:val="clear" w:color="auto" w:fill="auto"/>
        <w:spacing w:before="0" w:after="200" w:line="288" w:lineRule="auto"/>
        <w:ind w:left="0" w:right="0" w:firstLine="300"/>
        <w:jc w:val="left"/>
      </w:pPr>
      <w:r>
        <w:rPr>
          <w:rStyle w:val="CharStyle37"/>
          <w:color w:val="464648"/>
        </w:rPr>
        <w:t xml:space="preserve">Cellule </w:t>
      </w:r>
      <w:r>
        <w:rPr>
          <w:rStyle w:val="CharStyle37"/>
          <w:color w:val="303030"/>
        </w:rPr>
        <w:t>-</w:t>
      </w:r>
    </w:p>
    <w:p>
      <w:pPr>
        <w:pStyle w:val="Style18"/>
        <w:keepNext w:val="0"/>
        <w:keepLines w:val="0"/>
        <w:widowControl w:val="0"/>
        <w:shd w:val="clear" w:color="auto" w:fill="auto"/>
        <w:spacing w:before="0" w:after="0" w:line="240" w:lineRule="auto"/>
        <w:ind w:left="0" w:right="0" w:firstLine="300"/>
        <w:jc w:val="left"/>
        <w:rPr>
          <w:sz w:val="13"/>
        </w:rPr>
      </w:pPr>
      <w:r>
        <w:rPr>
          <w:rStyle w:val="CharStyle19"/>
          <w:rFonts w:ascii="Arial" w:hAnsi="Arial" w:cs="Arial" w:eastAsia="Arial"/>
          <w:b/>
          <w:color w:val="303030"/>
          <w:sz w:val="13"/>
        </w:rPr>
        <w:t xml:space="preserve">Andrew </w:t>
      </w:r>
      <w:r>
        <w:rPr>
          <w:rStyle w:val="CharStyle19"/>
          <w:rFonts w:ascii="Arial" w:hAnsi="Arial" w:cs="Arial" w:eastAsia="Arial"/>
          <w:b/>
          <w:color w:val="464648"/>
          <w:sz w:val="13"/>
        </w:rPr>
        <w:t xml:space="preserve">K. </w:t>
      </w:r>
      <w:r>
        <w:rPr>
          <w:rStyle w:val="CharStyle19"/>
          <w:rFonts w:ascii="Arial" w:hAnsi="Arial" w:cs="Arial" w:eastAsia="Arial"/>
          <w:b/>
          <w:color w:val="303030"/>
          <w:sz w:val="13"/>
        </w:rPr>
        <w:t xml:space="preserve">Hastings, Ph.D.</w:t>
      </w:r>
    </w:p>
    <w:p>
      <w:pPr>
        <w:pStyle w:val="Style57"/>
        <w:keepNext w:val="0"/>
        <w:keepLines w:val="0"/>
        <w:widowControl w:val="0"/>
        <w:shd w:val="clear" w:color="auto" w:fill="auto"/>
        <w:spacing w:before="0" w:after="0" w:line="240" w:lineRule="auto"/>
        <w:ind w:left="0" w:right="0" w:firstLine="300"/>
        <w:jc w:val="left"/>
      </w:pPr>
      <w:r>
        <w:rPr>
          <w:rStyle w:val="CharStyle58"/>
          <w:i/>
          <w:color w:val="464648"/>
        </w:rPr>
        <w:t xml:space="preserve">Analyste en santé publique</w:t>
      </w:r>
    </w:p>
    <w:p>
      <w:pPr>
        <w:pStyle w:val="Style57"/>
        <w:keepNext w:val="0"/>
        <w:keepLines w:val="0"/>
        <w:widowControl w:val="0"/>
        <w:shd w:val="clear" w:color="auto" w:fill="auto"/>
        <w:spacing w:before="0" w:after="0" w:line="240" w:lineRule="auto"/>
        <w:ind w:left="0" w:right="0" w:firstLine="300"/>
        <w:jc w:val="left"/>
      </w:pPr>
      <w:r>
        <w:rPr>
          <w:rStyle w:val="CharStyle58"/>
          <w:color w:val="464648"/>
        </w:rPr>
        <w:t xml:space="preserve">Direction générale des affaires législatives et de la gestion de la correspondance</w:t>
      </w:r>
    </w:p>
    <w:p>
      <w:pPr>
        <w:pStyle w:val="Style57"/>
        <w:keepNext w:val="0"/>
        <w:keepLines w:val="0"/>
        <w:widowControl w:val="0"/>
        <w:shd w:val="clear" w:color="auto" w:fill="auto"/>
        <w:spacing w:before="0" w:after="0" w:line="240" w:lineRule="auto"/>
        <w:ind w:left="0" w:right="0" w:firstLine="300"/>
        <w:jc w:val="left"/>
      </w:pPr>
      <w:r>
        <w:rPr>
          <w:rStyle w:val="CharStyle58"/>
          <w:color w:val="464648"/>
        </w:rPr>
        <w:t xml:space="preserve">Bureau des communications et des relations gouvernementales</w:t>
      </w:r>
    </w:p>
    <w:p>
      <w:pPr>
        <w:pStyle w:val="Style57"/>
        <w:keepNext w:val="0"/>
        <w:keepLines w:val="0"/>
        <w:widowControl w:val="0"/>
        <w:shd w:val="clear" w:color="auto" w:fill="auto"/>
        <w:spacing w:before="0" w:after="0" w:line="240" w:lineRule="auto"/>
        <w:ind w:left="0" w:right="0" w:firstLine="300"/>
        <w:jc w:val="left"/>
      </w:pPr>
      <w:r>
        <w:rPr>
          <w:rStyle w:val="CharStyle58"/>
          <w:color w:val="464648"/>
        </w:rPr>
        <w:t>NIAID/NIH/OHHS</w:t>
      </w:r>
    </w:p>
    <w:p>
      <w:pPr>
        <w:pStyle w:val="Style57"/>
        <w:keepNext w:val="0"/>
        <w:keepLines w:val="0"/>
        <w:widowControl w:val="0"/>
        <w:shd w:val="clear" w:color="auto" w:fill="auto"/>
        <w:spacing w:before="0" w:after="0" w:line="240" w:lineRule="auto"/>
        <w:ind w:left="0" w:right="0" w:firstLine="300"/>
        <w:jc w:val="left"/>
      </w:pPr>
      <w:r>
        <w:rPr>
          <w:rStyle w:val="CharStyle58"/>
          <w:color w:val="464648"/>
        </w:rPr>
        <w:t xml:space="preserve">Édifice. 11, salle 7A17, MSC 2520</w:t>
      </w:r>
    </w:p>
    <w:p>
      <w:pPr>
        <w:pStyle w:val="Style57"/>
        <w:keepNext w:val="0"/>
        <w:keepLines w:val="0"/>
        <w:widowControl w:val="0"/>
        <w:shd w:val="clear" w:color="auto" w:fill="auto"/>
        <w:spacing w:before="0" w:after="0" w:line="240" w:lineRule="auto"/>
        <w:ind w:left="0" w:right="0" w:firstLine="300"/>
        <w:jc w:val="left"/>
      </w:pPr>
      <w:r>
        <w:rPr>
          <w:rStyle w:val="CharStyle58"/>
          <w:color w:val="464648"/>
        </w:rPr>
        <w:t xml:space="preserve">Bethesda, MD 20892-2520</w:t>
      </w:r>
    </w:p>
    <w:p>
      <w:pPr>
        <w:widowControl w:val="0"/>
        <w:jc w:val="left"/>
        <w:rPr>
          <w:sz w:val="2"/>
        </w:rPr>
      </w:pPr>
      <w:r>
        <w:drawing>
          <wp:inline>
            <wp:extent cx="1151890" cy="158750"/>
            <wp:docPr id="189" name="Picutre 189"/>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00"/>
                    <a:stretch/>
                  </pic:blipFill>
                  <pic:spPr>
                    <a:xfrm>
                      <a:ext cx="1151890" cy="158750"/>
                    </a:xfrm>
                    <a:prstGeom prst="rect"/>
                  </pic:spPr>
                </pic:pic>
              </a:graphicData>
            </a:graphic>
          </wp:inline>
        </w:drawing>
      </w:r>
    </w:p>
    <w:p>
      <w:pPr>
        <w:widowControl w:val="0"/>
        <w:spacing w:after="559" w:line="1" w:lineRule="exact"/>
      </w:pPr>
    </w:p>
    <w:p>
      <w:pPr>
        <w:pStyle w:val="Style24"/>
        <w:keepNext w:val="0"/>
        <w:keepLines w:val="0"/>
        <w:widowControl w:val="0"/>
        <w:shd w:val="clear" w:color="auto" w:fill="auto"/>
        <w:spacing w:before="0" w:after="120"/>
        <w:ind w:left="0" w:right="0" w:firstLine="740"/>
        <w:jc w:val="left"/>
      </w:pPr>
      <w:r>
        <w:rPr>
          <w:rStyle w:val="CharStyle25"/>
        </w:rPr>
        <w:t xml:space="preserve">Le 3 septembre 2021, M. Folkers a alerté le personnel des NIH/NIAID des prochains courriels de demandes de membres minoritaires du Comité de surveillance et de réforme de la Chambre. </w:t>
        <w:footnoteReference w:id="402"/>
        <w:t xml:space="preserve">M. Folkers a envoyé un courriel de suivi, alertant le Dr Morens et d’autres membres du personnel que « 900 pages de documents de subvention EcoHealth Alliance sortent (avec des expurgations) aujourd’hui dans le cadre d’une action en justice avec First Look Institute (The Intercept) ».</w:t>
        <w:footnoteReference w:id="403"/>
        <w:t xml:space="preserve"> Le 5 septembre 2021, le Dr Morens a transmis le courriel de M. Folkers au Dr Daszak, au Dr Kessler et au Dr Keusch. </w:t>
        <w:footnoteReference w:id="404"/>
      </w:r>
    </w:p>
    <w:p>
      <w:pPr>
        <w:pStyle w:val="Style18"/>
        <w:keepNext w:val="0"/>
        <w:keepLines w:val="0"/>
        <w:widowControl w:val="0"/>
        <w:shd w:val="clear" w:color="auto" w:fill="auto"/>
        <w:spacing w:before="0" w:after="0" w:line="286" w:lineRule="auto"/>
        <w:ind w:left="0" w:right="0" w:firstLine="220"/>
        <w:jc w:val="left"/>
        <w:rPr>
          <w:sz w:val="12"/>
        </w:rPr>
      </w:pPr>
      <w:r>
        <w:rPr>
          <w:rStyle w:val="CharStyle19"/>
          <w:rFonts w:ascii="Arial" w:hAnsi="Arial" w:cs="Arial" w:eastAsia="Arial"/>
          <w:color w:val="303030"/>
          <w:sz w:val="12"/>
        </w:rPr>
        <w:t xml:space="preserve">À partir de: </w:t>
      </w:r>
      <w:r>
        <w:rPr>
          <w:rStyle w:val="CharStyle19"/>
          <w:rFonts w:ascii="Arial" w:hAnsi="Arial" w:cs="Arial" w:eastAsia="Arial"/>
          <w:color w:val="464648"/>
          <w:sz w:val="12"/>
        </w:rPr>
        <w:t xml:space="preserve">Morens, David (N1H/MAJD) [£] </w:t>
      </w:r>
      <w:r>
        <w:rPr>
          <w:rStyle w:val="CharStyle19"/>
          <w:rFonts w:ascii="Arial" w:hAnsi="Arial" w:cs="Arial" w:eastAsia="Arial"/>
          <w:sz w:val="12"/>
        </w:rPr>
        <w:t>■^^■AgmaiLconp</w:t>
      </w:r>
    </w:p>
    <w:p>
      <w:pPr>
        <w:pStyle w:val="Style18"/>
        <w:keepNext w:val="0"/>
        <w:keepLines w:val="0"/>
        <w:widowControl w:val="0"/>
        <w:shd w:val="clear" w:color="auto" w:fill="auto"/>
        <w:spacing w:before="0" w:after="0" w:line="286" w:lineRule="auto"/>
        <w:ind w:left="0" w:right="0" w:firstLine="220"/>
        <w:jc w:val="left"/>
        <w:rPr>
          <w:sz w:val="12"/>
        </w:rPr>
      </w:pPr>
      <w:r>
        <w:rPr>
          <w:rStyle w:val="CharStyle19"/>
          <w:rFonts w:ascii="Arial" w:hAnsi="Arial" w:cs="Arial" w:eastAsia="Arial"/>
          <w:color w:val="303030"/>
          <w:sz w:val="12"/>
        </w:rPr>
        <w:t xml:space="preserve">Envoyé: </w:t>
      </w:r>
      <w:r>
        <w:rPr>
          <w:rStyle w:val="CharStyle19"/>
          <w:rFonts w:ascii="Arial" w:hAnsi="Arial" w:cs="Arial" w:eastAsia="Arial"/>
          <w:color w:val="464648"/>
          <w:sz w:val="12"/>
        </w:rPr>
        <w:t xml:space="preserve">Dimanche, </w:t>
      </w:r>
      <w:r>
        <w:rPr>
          <w:rStyle w:val="CharStyle19"/>
          <w:rFonts w:ascii="Arial" w:hAnsi="Arial" w:cs="Arial" w:eastAsia="Arial"/>
          <w:color w:val="303030"/>
          <w:sz w:val="12"/>
        </w:rPr>
        <w:t>septembre5^O2n^3^^^^^^TM</w:t>
      </w:r>
    </w:p>
    <w:p>
      <w:pPr>
        <w:pStyle w:val="Style18"/>
        <w:keepNext w:val="0"/>
        <w:keepLines w:val="0"/>
        <w:widowControl w:val="0"/>
        <w:pBdr>
          <w:top w:val="single" w:sz="0" w:space="2" w:color="000000"/>
          <w:left w:val="single" w:sz="0" w:space="0" w:color="000000"/>
          <w:bottom w:val="single" w:sz="0" w:space="5" w:color="000000"/>
          <w:right w:val="single" w:sz="0" w:space="0" w:color="000000"/>
        </w:pBdr>
        <w:shd w:val="clear" w:color="auto" w:fill="000000"/>
        <w:tabs>
          <w:tab w:pos="2846" w:val="left"/>
        </w:tabs>
        <w:spacing w:before="0" w:after="54" w:line="286" w:lineRule="auto"/>
        <w:ind w:left="0" w:right="0" w:firstLine="0"/>
        <w:jc w:val="center"/>
        <w:rPr>
          <w:sz w:val="12"/>
        </w:rPr>
      </w:pPr>
      <w:r>
        <w:rPr>
          <w:rStyle w:val="CharStyle19"/>
          <w:rFonts w:ascii="Arial" w:hAnsi="Arial" w:cs="Arial" w:eastAsia="Arial"/>
          <w:color w:val="464648"/>
          <w:sz w:val="12"/>
        </w:rPr>
        <w:t xml:space="preserve">Robert Kessler (acteur) </w:t>
      </w:r>
      <w:r>
        <w:rPr>
          <w:rStyle w:val="CharStyle19"/>
          <w:rFonts w:ascii="Arial" w:hAnsi="Arial" w:cs="Arial" w:eastAsia="Arial"/>
          <w:color w:val="656361"/>
          <w:sz w:val="12"/>
        </w:rPr>
        <w:t xml:space="preserve">Keusch, </w:t>
      </w:r>
      <w:r>
        <w:rPr>
          <w:rStyle w:val="CharStyle19"/>
          <w:rFonts w:ascii="Arial" w:hAnsi="Arial" w:cs="Arial" w:eastAsia="Arial"/>
          <w:color w:val="464648"/>
          <w:sz w:val="12"/>
        </w:rPr>
        <w:t xml:space="preserve">Jerry </w:t>
      </w:r>
      <w:r>
        <w:rPr>
          <w:rStyle w:val="CharStyle19"/>
          <w:rFonts w:ascii="Arial" w:hAnsi="Arial" w:cs="Arial" w:eastAsia="Arial"/>
          <w:color w:val="838481"/>
          <w:sz w:val="12"/>
        </w:rPr>
        <w:t>&lt;</w:t>
      </w:r>
    </w:p>
    <w:p>
      <w:pPr>
        <w:pStyle w:val="Style18"/>
        <w:keepNext w:val="0"/>
        <w:keepLines w:val="0"/>
        <w:widowControl w:val="0"/>
        <w:shd w:val="clear" w:color="auto" w:fill="auto"/>
        <w:spacing w:before="0" w:after="300" w:line="286" w:lineRule="auto"/>
        <w:ind w:left="0" w:right="0" w:firstLine="220"/>
        <w:jc w:val="left"/>
        <w:rPr>
          <w:sz w:val="12"/>
        </w:rPr>
      </w:pPr>
      <w:r>
        <w:rPr>
          <w:rStyle w:val="CharStyle19"/>
          <w:rFonts w:ascii="Arial" w:hAnsi="Arial" w:cs="Arial" w:eastAsia="Arial"/>
          <w:color w:val="303030"/>
          <w:sz w:val="12"/>
        </w:rPr>
        <w:t xml:space="preserve">Objet: En ce qui concerne: FW </w:t>
      </w:r>
      <w:r>
        <w:rPr>
          <w:rStyle w:val="CharStyle19"/>
          <w:rFonts w:ascii="Arial" w:hAnsi="Arial" w:cs="Arial" w:eastAsia="Arial"/>
          <w:color w:val="464648"/>
          <w:sz w:val="12"/>
        </w:rPr>
        <w:t xml:space="preserve">ASF </w:t>
      </w:r>
      <w:r>
        <w:rPr>
          <w:rStyle w:val="CharStyle19"/>
          <w:rFonts w:ascii="Arial" w:hAnsi="Arial" w:cs="Arial" w:eastAsia="Arial"/>
          <w:color w:val="656361"/>
          <w:sz w:val="12"/>
        </w:rPr>
        <w:t xml:space="preserve">— loia</w:t>
      </w:r>
    </w:p>
    <w:p>
      <w:pPr>
        <w:pStyle w:val="Style18"/>
        <w:keepNext w:val="0"/>
        <w:keepLines w:val="0"/>
        <w:widowControl w:val="0"/>
        <w:shd w:val="clear" w:color="auto" w:fill="auto"/>
        <w:spacing w:before="0" w:after="160" w:line="259" w:lineRule="auto"/>
        <w:ind w:left="220" w:right="0" w:firstLine="0"/>
        <w:jc w:val="left"/>
        <w:rPr>
          <w:sz w:val="12"/>
        </w:rPr>
      </w:pPr>
      <w:r>
        <w:rPr>
          <w:rStyle w:val="CharStyle19"/>
          <w:rFonts w:ascii="Arial" w:hAnsi="Arial" w:cs="Arial" w:eastAsia="Arial"/>
          <w:color w:val="464648"/>
          <w:sz w:val="12"/>
        </w:rPr>
        <w:t xml:space="preserve">Mais </w:t>
      </w:r>
      <w:r>
        <w:rPr>
          <w:rStyle w:val="CharStyle19"/>
          <w:rFonts w:ascii="Arial" w:hAnsi="Arial" w:cs="Arial" w:eastAsia="Arial"/>
          <w:color w:val="303030"/>
          <w:sz w:val="12"/>
        </w:rPr>
        <w:t xml:space="preserve">je </w:t>
      </w:r>
      <w:r>
        <w:rPr>
          <w:rStyle w:val="CharStyle19"/>
          <w:rFonts w:ascii="Arial" w:hAnsi="Arial" w:cs="Arial" w:eastAsia="Arial"/>
          <w:color w:val="464648"/>
          <w:sz w:val="12"/>
        </w:rPr>
        <w:t xml:space="preserve">pense </w:t>
      </w:r>
      <w:r>
        <w:rPr>
          <w:rStyle w:val="CharStyle19"/>
          <w:rFonts w:ascii="Arial" w:hAnsi="Arial" w:cs="Arial" w:eastAsia="Arial"/>
          <w:color w:val="656361"/>
          <w:sz w:val="12"/>
        </w:rPr>
        <w:t xml:space="preserve">que c'est </w:t>
      </w:r>
      <w:r>
        <w:rPr>
          <w:rStyle w:val="CharStyle19"/>
          <w:rFonts w:ascii="Arial" w:hAnsi="Arial" w:cs="Arial" w:eastAsia="Arial"/>
          <w:color w:val="464648"/>
          <w:sz w:val="12"/>
        </w:rPr>
        <w:t xml:space="preserve">la chose </w:t>
      </w:r>
      <w:r>
        <w:rPr>
          <w:rStyle w:val="CharStyle19"/>
          <w:rFonts w:ascii="Arial" w:hAnsi="Arial" w:cs="Arial" w:eastAsia="Arial"/>
          <w:color w:val="656361"/>
          <w:sz w:val="12"/>
        </w:rPr>
        <w:t xml:space="preserve">importante: </w:t>
      </w:r>
      <w:r>
        <w:rPr>
          <w:rStyle w:val="CharStyle19"/>
          <w:rFonts w:ascii="Arial" w:hAnsi="Arial" w:cs="Arial" w:eastAsia="Arial"/>
          <w:color w:val="464648"/>
          <w:sz w:val="12"/>
        </w:rPr>
        <w:t xml:space="preserve"> car il </w:t>
      </w:r>
      <w:r>
        <w:rPr>
          <w:rStyle w:val="CharStyle19"/>
          <w:rFonts w:ascii="Arial" w:hAnsi="Arial" w:cs="Arial" w:eastAsia="Arial"/>
          <w:color w:val="656361"/>
          <w:sz w:val="12"/>
        </w:rPr>
        <w:t xml:space="preserve">n'y </w:t>
      </w:r>
      <w:r>
        <w:rPr>
          <w:rStyle w:val="CharStyle19"/>
          <w:rFonts w:ascii="Arial" w:hAnsi="Arial" w:cs="Arial" w:eastAsia="Arial"/>
          <w:color w:val="464648"/>
          <w:sz w:val="12"/>
        </w:rPr>
        <w:t xml:space="preserve">a rien </w:t>
      </w:r>
      <w:r>
        <w:rPr>
          <w:rStyle w:val="CharStyle19"/>
          <w:rFonts w:ascii="Arial" w:hAnsi="Arial" w:cs="Arial" w:eastAsia="Arial"/>
          <w:color w:val="656361"/>
          <w:sz w:val="12"/>
        </w:rPr>
        <w:t xml:space="preserve">à </w:t>
      </w:r>
      <w:r>
        <w:rPr>
          <w:rStyle w:val="CharStyle19"/>
          <w:rFonts w:ascii="Arial" w:hAnsi="Arial" w:cs="Arial" w:eastAsia="Arial"/>
          <w:color w:val="464648"/>
          <w:sz w:val="12"/>
        </w:rPr>
        <w:t xml:space="preserve">trouver, il </w:t>
      </w:r>
      <w:r>
        <w:rPr>
          <w:rStyle w:val="CharStyle19"/>
          <w:rFonts w:ascii="Arial" w:hAnsi="Arial" w:cs="Arial" w:eastAsia="Arial"/>
          <w:color w:val="303030"/>
          <w:sz w:val="12"/>
        </w:rPr>
        <w:t xml:space="preserve">y </w:t>
      </w:r>
      <w:r>
        <w:rPr>
          <w:rStyle w:val="CharStyle19"/>
          <w:rFonts w:ascii="Arial" w:hAnsi="Arial" w:cs="Arial" w:eastAsia="Arial"/>
          <w:color w:val="464648"/>
          <w:sz w:val="12"/>
        </w:rPr>
        <w:t xml:space="preserve">a peu </w:t>
      </w:r>
      <w:r>
        <w:rPr>
          <w:rStyle w:val="CharStyle19"/>
          <w:rFonts w:ascii="Arial" w:hAnsi="Arial" w:cs="Arial" w:eastAsia="Arial"/>
          <w:color w:val="656361"/>
          <w:sz w:val="12"/>
        </w:rPr>
        <w:t xml:space="preserve">qu'ils </w:t>
      </w:r>
      <w:r>
        <w:rPr>
          <w:rStyle w:val="CharStyle19"/>
          <w:rFonts w:ascii="Arial" w:hAnsi="Arial" w:cs="Arial" w:eastAsia="Arial"/>
          <w:color w:val="464648"/>
          <w:sz w:val="12"/>
        </w:rPr>
        <w:t xml:space="preserve">puissent en faire. </w:t>
      </w:r>
      <w:r>
        <w:rPr>
          <w:rStyle w:val="CharStyle19"/>
          <w:rFonts w:ascii="Arial" w:hAnsi="Arial" w:cs="Arial" w:eastAsia="Arial"/>
          <w:color w:val="656361"/>
          <w:sz w:val="12"/>
        </w:rPr>
        <w:t xml:space="preserve"> </w:t>
      </w:r>
      <w:r>
        <w:rPr>
          <w:rStyle w:val="CharStyle19"/>
          <w:rFonts w:ascii="Arial" w:hAnsi="Arial" w:cs="Arial" w:eastAsia="Arial"/>
          <w:color w:val="464648"/>
          <w:sz w:val="12"/>
        </w:rPr>
        <w:t xml:space="preserve"> Peut-être qu’à</w:t>
      </w:r>
      <w:r>
        <w:rPr>
          <w:rStyle w:val="CharStyle19"/>
          <w:rFonts w:ascii="Arial" w:hAnsi="Arial" w:cs="Arial" w:eastAsia="Arial"/>
          <w:color w:val="838481"/>
          <w:sz w:val="12"/>
        </w:rPr>
        <w:t xml:space="preserve"> </w:t>
      </w:r>
      <w:r>
        <w:rPr>
          <w:rStyle w:val="CharStyle19"/>
          <w:rFonts w:ascii="Arial" w:hAnsi="Arial" w:cs="Arial" w:eastAsia="Arial"/>
          <w:color w:val="656361"/>
          <w:sz w:val="12"/>
        </w:rPr>
        <w:t xml:space="preserve">un moment </w:t>
      </w:r>
      <w:r>
        <w:rPr>
          <w:rStyle w:val="CharStyle19"/>
          <w:rFonts w:ascii="Arial" w:hAnsi="Arial" w:cs="Arial" w:eastAsia="Arial"/>
          <w:color w:val="838481"/>
          <w:sz w:val="12"/>
        </w:rPr>
        <w:t xml:space="preserve">donné, </w:t>
      </w:r>
      <w:r>
        <w:rPr>
          <w:rStyle w:val="CharStyle19"/>
          <w:rFonts w:ascii="Arial" w:hAnsi="Arial" w:cs="Arial" w:eastAsia="Arial"/>
          <w:color w:val="464648"/>
          <w:sz w:val="12"/>
        </w:rPr>
        <w:t xml:space="preserve">ces </w:t>
      </w:r>
      <w:r>
        <w:rPr>
          <w:rStyle w:val="CharStyle19"/>
          <w:rFonts w:ascii="Arial" w:hAnsi="Arial" w:cs="Arial" w:eastAsia="Arial"/>
          <w:color w:val="656361"/>
          <w:sz w:val="12"/>
        </w:rPr>
        <w:t xml:space="preserve">fous </w:t>
      </w:r>
      <w:r>
        <w:rPr>
          <w:rStyle w:val="CharStyle19"/>
          <w:rFonts w:ascii="Arial" w:hAnsi="Arial" w:cs="Arial" w:eastAsia="Arial"/>
          <w:color w:val="464648"/>
          <w:sz w:val="12"/>
        </w:rPr>
        <w:t xml:space="preserve">passeront à </w:t>
      </w:r>
      <w:r>
        <w:rPr>
          <w:rStyle w:val="CharStyle19"/>
          <w:rFonts w:ascii="Arial" w:hAnsi="Arial" w:cs="Arial" w:eastAsia="Arial"/>
          <w:color w:val="656361"/>
          <w:sz w:val="12"/>
        </w:rPr>
        <w:t xml:space="preserve">un autre njusp’u acy.... </w:t>
      </w:r>
      <w:r>
        <w:rPr>
          <w:rStyle w:val="CharStyle19"/>
          <w:rFonts w:ascii="Arial" w:hAnsi="Arial" w:cs="Arial" w:eastAsia="Arial"/>
          <w:color w:val="464648"/>
          <w:sz w:val="12"/>
        </w:rPr>
        <w:t>d</w:t>
      </w:r>
    </w:p>
    <w:p>
      <w:pPr>
        <w:pStyle w:val="Style18"/>
        <w:keepNext w:val="0"/>
        <w:keepLines w:val="0"/>
        <w:widowControl w:val="0"/>
        <w:shd w:val="clear" w:color="auto" w:fill="auto"/>
        <w:spacing w:before="0" w:after="40" w:line="286" w:lineRule="auto"/>
        <w:ind w:left="0" w:right="0" w:firstLine="220"/>
        <w:jc w:val="left"/>
        <w:rPr>
          <w:sz w:val="12"/>
        </w:rPr>
      </w:pPr>
      <w:r>
        <w:rPr>
          <w:rStyle w:val="CharStyle19"/>
          <w:rFonts w:ascii="Arial" w:hAnsi="Arial" w:cs="Arial" w:eastAsia="Arial"/>
          <w:color w:val="464648"/>
          <w:sz w:val="12"/>
        </w:rPr>
        <w:t xml:space="preserve">Sur 9&lt;5&lt;20211:19 PM, Peter Daszak a écrit:</w:t>
      </w:r>
    </w:p>
    <w:p>
      <w:pPr>
        <w:pStyle w:val="Style18"/>
        <w:keepNext w:val="0"/>
        <w:keepLines w:val="0"/>
        <w:widowControl w:val="0"/>
        <w:shd w:val="clear" w:color="auto" w:fill="auto"/>
        <w:spacing w:before="0" w:after="580" w:line="286" w:lineRule="auto"/>
        <w:ind w:left="620" w:right="0" w:firstLine="0"/>
        <w:jc w:val="left"/>
        <w:rPr>
          <w:sz w:val="12"/>
        </w:rPr>
      </w:pPr>
      <w:r>
        <w:rPr>
          <w:rStyle w:val="CharStyle19"/>
          <w:rFonts w:ascii="Arial" w:hAnsi="Arial" w:cs="Arial" w:eastAsia="Arial"/>
          <w:color w:val="464648"/>
          <w:sz w:val="12"/>
        </w:rPr>
        <w:t xml:space="preserve">Merci pour le heads-up. Les 900 pages de </w:t>
      </w:r>
      <w:r>
        <w:rPr>
          <w:rStyle w:val="CharStyle19"/>
          <w:rFonts w:ascii="Arial" w:hAnsi="Arial" w:cs="Arial" w:eastAsia="Arial"/>
          <w:color w:val="656361"/>
          <w:sz w:val="12"/>
        </w:rPr>
        <w:t xml:space="preserve">documents </w:t>
      </w:r>
      <w:r>
        <w:rPr>
          <w:rStyle w:val="CharStyle19"/>
          <w:rFonts w:ascii="Arial" w:hAnsi="Arial" w:cs="Arial" w:eastAsia="Arial"/>
          <w:color w:val="464648"/>
          <w:sz w:val="12"/>
        </w:rPr>
        <w:t xml:space="preserve">relatifs à </w:t>
      </w:r>
      <w:r>
        <w:rPr>
          <w:rStyle w:val="CharStyle19"/>
          <w:rFonts w:ascii="Arial" w:hAnsi="Arial" w:cs="Arial" w:eastAsia="Arial"/>
          <w:color w:val="303030"/>
          <w:sz w:val="12"/>
        </w:rPr>
        <w:t xml:space="preserve">la subvention</w:t>
      </w:r>
      <w:r>
        <w:rPr>
          <w:rStyle w:val="CharStyle19"/>
          <w:rFonts w:ascii="Arial" w:hAnsi="Arial" w:cs="Arial" w:eastAsia="Arial"/>
          <w:color w:val="303030"/>
          <w:sz w:val="12"/>
        </w:rPr>
        <w:t xml:space="preserve">1 </w:t>
      </w:r>
      <w:r>
        <w:rPr>
          <w:rStyle w:val="CharStyle19"/>
          <w:rFonts w:ascii="Arial" w:hAnsi="Arial" w:cs="Arial" w:eastAsia="Arial"/>
          <w:color w:val="303030"/>
          <w:sz w:val="12"/>
        </w:rPr>
        <w:t xml:space="preserve">sont, selon nous, les </w:t>
      </w:r>
      <w:r>
        <w:rPr>
          <w:rStyle w:val="CharStyle19"/>
          <w:rFonts w:ascii="Arial" w:hAnsi="Arial" w:cs="Arial" w:eastAsia="Arial"/>
          <w:color w:val="656361"/>
          <w:sz w:val="12"/>
        </w:rPr>
        <w:t xml:space="preserve"> </w:t>
      </w:r>
      <w:r>
        <w:rPr>
          <w:rStyle w:val="CharStyle19"/>
          <w:rFonts w:ascii="Arial" w:hAnsi="Arial" w:cs="Arial" w:eastAsia="Arial"/>
          <w:color w:val="464648"/>
          <w:sz w:val="12"/>
        </w:rPr>
        <w:t xml:space="preserve">documents que nous avons traités avec </w:t>
      </w:r>
      <w:r>
        <w:rPr>
          <w:rStyle w:val="CharStyle19"/>
          <w:rFonts w:ascii="Arial" w:hAnsi="Arial" w:cs="Arial" w:eastAsia="Arial"/>
          <w:color w:val="303030"/>
          <w:sz w:val="12"/>
        </w:rPr>
        <w:t xml:space="preserve">nos </w:t>
      </w:r>
      <w:r>
        <w:rPr>
          <w:rStyle w:val="CharStyle19"/>
          <w:rFonts w:ascii="Arial" w:hAnsi="Arial" w:cs="Arial" w:eastAsia="Arial"/>
          <w:color w:val="656361"/>
          <w:sz w:val="12"/>
        </w:rPr>
        <w:t xml:space="preserve">avocats. </w:t>
      </w:r>
      <w:r>
        <w:rPr>
          <w:rStyle w:val="CharStyle19"/>
          <w:rFonts w:ascii="Arial" w:hAnsi="Arial" w:cs="Arial" w:eastAsia="Arial"/>
          <w:color w:val="464648"/>
          <w:sz w:val="12"/>
        </w:rPr>
        <w:t xml:space="preserve">Il comprend </w:t>
      </w:r>
      <w:r>
        <w:rPr>
          <w:rStyle w:val="CharStyle19"/>
          <w:rFonts w:ascii="Arial" w:hAnsi="Arial" w:cs="Arial" w:eastAsia="Arial"/>
          <w:color w:val="656361"/>
          <w:sz w:val="12"/>
        </w:rPr>
        <w:t xml:space="preserve">la proposition complète de pneu </w:t>
      </w:r>
      <w:r>
        <w:rPr>
          <w:rStyle w:val="CharStyle19"/>
          <w:rFonts w:ascii="Arial" w:hAnsi="Arial" w:cs="Arial" w:eastAsia="Arial"/>
          <w:color w:val="464648"/>
          <w:sz w:val="12"/>
        </w:rPr>
        <w:t xml:space="preserve">de notre subvention en </w:t>
      </w:r>
      <w:r>
        <w:rPr>
          <w:rStyle w:val="CharStyle19"/>
          <w:rFonts w:ascii="Arial" w:hAnsi="Arial" w:cs="Arial" w:eastAsia="Arial"/>
          <w:color w:val="656361"/>
          <w:sz w:val="12"/>
        </w:rPr>
        <w:t xml:space="preserve">Chine, des rapports, </w:t>
      </w:r>
      <w:r>
        <w:rPr>
          <w:rStyle w:val="CharStyle19"/>
          <w:rFonts w:ascii="Arial" w:hAnsi="Arial" w:cs="Arial" w:eastAsia="Arial"/>
          <w:color w:val="464648"/>
          <w:sz w:val="12"/>
        </w:rPr>
        <w:t xml:space="preserve">etc. </w:t>
      </w:r>
      <w:r>
        <w:rPr>
          <w:rStyle w:val="CharStyle19"/>
          <w:rFonts w:ascii="Arial" w:hAnsi="Arial" w:cs="Arial" w:eastAsia="Arial"/>
          <w:color w:val="656361"/>
          <w:sz w:val="12"/>
        </w:rPr>
        <w:t xml:space="preserve">ainsi que </w:t>
      </w:r>
      <w:r>
        <w:rPr>
          <w:rStyle w:val="CharStyle19"/>
          <w:rFonts w:ascii="Arial" w:hAnsi="Arial" w:cs="Arial" w:eastAsia="Arial"/>
          <w:color w:val="838481"/>
          <w:sz w:val="12"/>
        </w:rPr>
        <w:t xml:space="preserve">notre </w:t>
      </w:r>
      <w:r>
        <w:rPr>
          <w:rStyle w:val="CharStyle19"/>
          <w:rFonts w:ascii="Arial" w:hAnsi="Arial" w:cs="Arial" w:eastAsia="Arial"/>
          <w:color w:val="464648"/>
          <w:sz w:val="12"/>
        </w:rPr>
        <w:t xml:space="preserve">U01 actuel. Il est extrêmement </w:t>
      </w:r>
      <w:r>
        <w:rPr>
          <w:rStyle w:val="CharStyle19"/>
          <w:rFonts w:ascii="Arial" w:hAnsi="Arial" w:cs="Arial" w:eastAsia="Arial"/>
          <w:color w:val="656361"/>
          <w:sz w:val="12"/>
        </w:rPr>
        <w:t xml:space="preserve">troublant </w:t>
      </w:r>
      <w:r>
        <w:rPr>
          <w:rStyle w:val="CharStyle19"/>
          <w:rFonts w:ascii="Arial" w:hAnsi="Arial" w:cs="Arial" w:eastAsia="Arial"/>
          <w:color w:val="838481"/>
          <w:sz w:val="12"/>
        </w:rPr>
        <w:t xml:space="preserve">que </w:t>
      </w:r>
      <w:r>
        <w:rPr>
          <w:rStyle w:val="CharStyle19"/>
          <w:rFonts w:ascii="Arial" w:hAnsi="Arial" w:cs="Arial" w:eastAsia="Arial"/>
          <w:color w:val="464648"/>
          <w:sz w:val="12"/>
        </w:rPr>
        <w:t xml:space="preserve">ceux-ci soient </w:t>
      </w:r>
      <w:r>
        <w:rPr>
          <w:rStyle w:val="CharStyle19"/>
          <w:rFonts w:ascii="Arial" w:hAnsi="Arial" w:cs="Arial" w:eastAsia="Arial"/>
          <w:color w:val="656361"/>
          <w:sz w:val="12"/>
        </w:rPr>
        <w:t xml:space="preserve">traînés à travers le moulin, </w:t>
      </w:r>
      <w:r>
        <w:rPr>
          <w:rStyle w:val="CharStyle19"/>
          <w:rFonts w:ascii="Arial" w:hAnsi="Arial" w:cs="Arial" w:eastAsia="Arial"/>
          <w:color w:val="464648"/>
          <w:sz w:val="12"/>
        </w:rPr>
        <w:t xml:space="preserve">la </w:t>
      </w:r>
      <w:r>
        <w:rPr>
          <w:rStyle w:val="CharStyle19"/>
          <w:rFonts w:ascii="Arial" w:hAnsi="Arial" w:cs="Arial" w:eastAsia="Arial"/>
          <w:color w:val="656361"/>
          <w:sz w:val="12"/>
        </w:rPr>
        <w:t xml:space="preserve">vérité </w:t>
      </w:r>
      <w:r>
        <w:rPr>
          <w:rStyle w:val="CharStyle19"/>
          <w:rFonts w:ascii="Arial" w:hAnsi="Arial" w:cs="Arial" w:eastAsia="Arial"/>
          <w:color w:val="464648"/>
          <w:sz w:val="12"/>
        </w:rPr>
        <w:t xml:space="preserve">est qu’il </w:t>
      </w:r>
      <w:r>
        <w:rPr>
          <w:rStyle w:val="CharStyle19"/>
          <w:rFonts w:ascii="Arial" w:hAnsi="Arial" w:cs="Arial" w:eastAsia="Arial"/>
          <w:color w:val="656361"/>
          <w:sz w:val="12"/>
        </w:rPr>
        <w:t xml:space="preserve">n’y a rien </w:t>
      </w:r>
      <w:r>
        <w:rPr>
          <w:rStyle w:val="CharStyle19"/>
          <w:rFonts w:ascii="Arial" w:hAnsi="Arial" w:cs="Arial" w:eastAsia="Arial"/>
          <w:color w:val="838481"/>
          <w:sz w:val="12"/>
        </w:rPr>
        <w:t xml:space="preserve">d’inhabituel et d’embarrassant </w:t>
      </w:r>
      <w:r>
        <w:rPr>
          <w:rStyle w:val="CharStyle19"/>
          <w:rFonts w:ascii="Arial" w:hAnsi="Arial" w:cs="Arial" w:eastAsia="Arial"/>
          <w:color w:val="656361"/>
          <w:sz w:val="12"/>
        </w:rPr>
        <w:t xml:space="preserve"> </w:t>
      </w:r>
      <w:r>
        <w:rPr>
          <w:rStyle w:val="CharStyle19"/>
          <w:rFonts w:ascii="Arial" w:hAnsi="Arial" w:cs="Arial" w:eastAsia="Arial"/>
          <w:color w:val="656361"/>
          <w:sz w:val="12"/>
        </w:rPr>
        <w:t xml:space="preserve"> </w:t>
      </w:r>
      <w:r>
        <w:rPr>
          <w:rStyle w:val="CharStyle19"/>
          <w:rFonts w:ascii="Arial" w:hAnsi="Arial" w:cs="Arial" w:eastAsia="Arial"/>
          <w:color w:val="464648"/>
          <w:sz w:val="12"/>
        </w:rPr>
        <w:t xml:space="preserve">là-dedans </w:t>
      </w:r>
      <w:r>
        <w:rPr>
          <w:rStyle w:val="CharStyle19"/>
          <w:rFonts w:ascii="Arial" w:hAnsi="Arial" w:cs="Arial" w:eastAsia="Arial"/>
          <w:color w:val="656361"/>
          <w:sz w:val="12"/>
        </w:rPr>
        <w:t xml:space="preserve">- tout est tout à fait normal et </w:t>
      </w:r>
      <w:r>
        <w:rPr>
          <w:rStyle w:val="CharStyle19"/>
          <w:rFonts w:ascii="Arial" w:hAnsi="Arial" w:cs="Arial" w:eastAsia="Arial"/>
          <w:color w:val="464648"/>
          <w:sz w:val="12"/>
        </w:rPr>
        <w:t xml:space="preserve">au-dessus de la planche, et les deux ont été </w:t>
      </w:r>
      <w:r>
        <w:rPr>
          <w:rStyle w:val="CharStyle19"/>
          <w:rFonts w:ascii="Arial" w:hAnsi="Arial" w:cs="Arial" w:eastAsia="Arial"/>
          <w:color w:val="656361"/>
          <w:sz w:val="12"/>
        </w:rPr>
        <w:t xml:space="preserve">très bien notés par </w:t>
      </w:r>
      <w:r>
        <w:rPr>
          <w:rStyle w:val="CharStyle19"/>
          <w:rFonts w:ascii="Arial" w:hAnsi="Arial" w:cs="Arial" w:eastAsia="Arial"/>
          <w:color w:val="838481"/>
          <w:sz w:val="12"/>
        </w:rPr>
        <w:t xml:space="preserve"> </w:t>
      </w:r>
      <w:r>
        <w:rPr>
          <w:rStyle w:val="CharStyle19"/>
          <w:rFonts w:ascii="Arial" w:hAnsi="Arial" w:cs="Arial" w:eastAsia="Arial"/>
          <w:color w:val="464648"/>
          <w:sz w:val="12"/>
        </w:rPr>
        <w:t xml:space="preserve">les évaluateurs.</w:t>
      </w:r>
    </w:p>
    <w:p>
      <w:pPr>
        <w:pStyle w:val="Style39"/>
        <w:keepNext w:val="0"/>
        <w:keepLines w:val="0"/>
        <w:widowControl w:val="0"/>
        <w:shd w:val="clear" w:color="auto" w:fill="auto"/>
        <w:spacing w:before="0" w:after="2540" w:line="240" w:lineRule="auto"/>
        <w:ind w:left="0" w:right="0" w:firstLine="0"/>
        <w:jc w:val="right"/>
        <w:rPr>
          <w:sz w:val="18"/>
        </w:rPr>
      </w:pPr>
      <w:r>
        <w:rPr>
          <w:rStyle w:val="CharStyle40"/>
          <w:color w:val="303030"/>
          <w:sz w:val="18"/>
        </w:rPr>
        <w:t xml:space="preserve">PLUS NÉ S U </w:t>
      </w:r>
      <w:r>
        <w:rPr>
          <w:rStyle w:val="CharStyle40"/>
          <w:sz w:val="18"/>
        </w:rPr>
        <w:t xml:space="preserve"> </w:t>
      </w:r>
      <w:r>
        <w:rPr>
          <w:rStyle w:val="CharStyle40"/>
          <w:color w:val="303030"/>
          <w:sz w:val="18"/>
        </w:rPr>
        <w:t xml:space="preserve">B POE NAO 22156</w:t>
      </w:r>
    </w:p>
    <w:p>
      <w:pPr>
        <w:pStyle w:val="Style24"/>
        <w:keepNext w:val="0"/>
        <w:keepLines w:val="0"/>
        <w:widowControl w:val="0"/>
        <w:shd w:val="clear" w:color="auto" w:fill="auto"/>
        <w:spacing w:before="0" w:after="22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widowControl w:val="0"/>
        <w:jc w:val="center"/>
        <w:rPr>
          <w:sz w:val="2"/>
        </w:rPr>
      </w:pPr>
      <w:r>
        <w:drawing>
          <wp:inline>
            <wp:extent cx="6022975" cy="7735570"/>
            <wp:docPr id="190" name="Picutre 190"/>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02"/>
                    <a:stretch/>
                  </pic:blipFill>
                  <pic:spPr>
                    <a:xfrm>
                      <a:ext cx="6022975" cy="7735570"/>
                    </a:xfrm>
                    <a:prstGeom prst="rect"/>
                  </pic:spPr>
                </pic:pic>
              </a:graphicData>
            </a:graphic>
          </wp:inline>
        </w:drawing>
      </w:r>
    </w:p>
    <w:p>
      <w:pPr>
        <w:widowControl w:val="0"/>
        <w:spacing w:line="1" w:lineRule="exact"/>
      </w:pPr>
      <w:r>
        <w:br w:type="page"/>
      </w:r>
    </w:p>
    <w:p>
      <w:pPr>
        <w:widowControl w:val="0"/>
        <w:jc w:val="center"/>
        <w:rPr>
          <w:sz w:val="2"/>
        </w:rPr>
      </w:pPr>
      <w:r>
        <w:drawing>
          <wp:inline>
            <wp:extent cx="6022975" cy="7900670"/>
            <wp:docPr id="191" name="Picutre 191"/>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04"/>
                    <a:stretch/>
                  </pic:blipFill>
                  <pic:spPr>
                    <a:xfrm>
                      <a:ext cx="6022975" cy="7900670"/>
                    </a:xfrm>
                    <a:prstGeom prst="rect"/>
                  </pic:spPr>
                </pic:pic>
              </a:graphicData>
            </a:graphic>
          </wp:inline>
        </w:drawing>
      </w:r>
    </w:p>
    <w:p>
      <w:pPr>
        <w:widowControl w:val="0"/>
        <w:spacing w:line="1" w:lineRule="exact"/>
      </w:pPr>
    </w:p>
    <w:tbl>
      <w:tblPr>
        <w:tblOverlap w:val="never"/>
        <w:jc w:val="center"/>
        <w:tblLayout w:type="fixed"/>
      </w:tblPr>
      <w:tblGrid>
        <w:gridCol w:w="1406"/>
        <w:gridCol w:w="8237"/>
      </w:tblGrid>
      <w:tr>
        <w:trPr>
          <w:trHeight w:val="653" w:hRule="exact"/>
        </w:trPr>
        <w:tc>
          <w:tcPr>
            <w:tcBorders>
              <w:top w:val="single" w:sz="4"/>
              <w:left w:val="single" w:sz="4"/>
              <w:bottom w:val="single" w:sz="4"/>
            </w:tcBorders>
            <w:shd w:val="clear" w:color="auto" w:fill="D9F3D0"/>
            <w:vAlign w:val="top"/>
          </w:tcPr>
          <w:p>
            <w:pPr>
              <w:pStyle w:val="Style18"/>
              <w:keepNext w:val="0"/>
              <w:keepLines w:val="0"/>
              <w:widowControl w:val="0"/>
              <w:shd w:val="clear" w:color="auto" w:fill="auto"/>
              <w:spacing w:before="0" w:after="0" w:line="240" w:lineRule="auto"/>
              <w:ind w:left="0" w:right="0" w:firstLine="0"/>
              <w:jc w:val="center"/>
            </w:pPr>
            <w:r>
              <w:rPr>
                <w:rStyle w:val="CharStyle19"/>
              </w:rPr>
              <w:t xml:space="preserve">CONSTATATION :</w:t>
            </w:r>
          </w:p>
        </w:tc>
        <w:tc>
          <w:tcPr>
            <w:tcBorders>
              <w:top w:val="single" w:sz="4"/>
              <w:bottom w:val="single" w:sz="4"/>
              <w:right w:val="single" w:sz="4"/>
            </w:tcBorders>
            <w:shd w:val="clear" w:color="auto" w:fill="D9F3D0"/>
            <w:vAlign w:val="bottom"/>
          </w:tcPr>
          <w:p>
            <w:pPr>
              <w:pStyle w:val="Style18"/>
              <w:keepNext w:val="0"/>
              <w:keepLines w:val="0"/>
              <w:widowControl w:val="0"/>
              <w:shd w:val="clear" w:color="auto" w:fill="auto"/>
              <w:spacing w:before="0" w:after="0" w:line="259" w:lineRule="auto"/>
              <w:ind w:left="160" w:right="0" w:firstLine="0"/>
              <w:jc w:val="left"/>
            </w:pPr>
            <w:r>
              <w:rPr>
                <w:rStyle w:val="CharStyle19"/>
              </w:rPr>
              <w:t xml:space="preserve">Le Dr David Morens a violé son serment d'office et a aidé le Dr Peter Daszak et EcoHealth Alliance, Inc à éviter la surveillance.</w:t>
            </w:r>
          </w:p>
        </w:tc>
      </w:tr>
    </w:tbl>
    <w:p>
      <w:pPr>
        <w:widowControl w:val="0"/>
        <w:spacing w:after="279" w:line="1" w:lineRule="exact"/>
      </w:pPr>
    </w:p>
    <w:p>
      <w:pPr>
        <w:pStyle w:val="Style24"/>
        <w:keepNext w:val="0"/>
        <w:keepLines w:val="0"/>
        <w:widowControl w:val="0"/>
        <w:shd w:val="clear" w:color="auto" w:fill="auto"/>
        <w:spacing w:before="0" w:after="0" w:line="264" w:lineRule="auto"/>
        <w:ind w:left="0" w:right="0" w:firstLine="860"/>
        <w:jc w:val="left"/>
      </w:pPr>
      <w:r>
        <w:rPr>
          <w:rStyle w:val="CharStyle25"/>
        </w:rPr>
        <w:t xml:space="preserve">En avril 2020, les NIH ont commencé à prendre des mesures d'application de la loi à l'encontre du Dr Daszak et d'EcoHealth. Dr.</w:t>
      </w:r>
    </w:p>
    <w:p>
      <w:pPr>
        <w:pStyle w:val="Style24"/>
        <w:keepNext w:val="0"/>
        <w:keepLines w:val="0"/>
        <w:widowControl w:val="0"/>
        <w:shd w:val="clear" w:color="auto" w:fill="auto"/>
        <w:spacing w:before="0" w:after="280" w:line="264" w:lineRule="auto"/>
        <w:ind w:left="0" w:right="0" w:firstLine="140"/>
        <w:jc w:val="left"/>
      </w:pPr>
      <w:r>
        <w:rPr>
          <w:rStyle w:val="CharStyle25"/>
        </w:rPr>
        <w:t xml:space="preserve">Morens était un employé de NIH à l'époque, et en tant que tel était lié par 5 U.S.C. 3331. On peut y lire:</w:t>
      </w:r>
    </w:p>
    <w:p>
      <w:pPr>
        <w:pStyle w:val="Style24"/>
        <w:keepNext w:val="0"/>
        <w:keepLines w:val="0"/>
        <w:widowControl w:val="0"/>
        <w:shd w:val="clear" w:color="auto" w:fill="auto"/>
        <w:spacing w:before="0" w:after="280"/>
        <w:ind w:left="860" w:right="0" w:firstLine="0"/>
        <w:jc w:val="both"/>
      </w:pPr>
      <w:r>
        <w:rPr>
          <w:rStyle w:val="CharStyle25"/>
        </w:rPr>
        <w:t xml:space="preserve">Un individu, à l'exception du président, élu ou nommé à un poste d'honneur ou de profit dans la fonction publique ou les services en uniforme, doit prêter le serment suivant: «Moi, AB, jure solennellement (ou affirme solennellement) que je soutiendrai et défendrai la Constitution des États-Unis contre tous les ennemis, étrangers et nationaux; que je porterai la vraie foi et l'allégeance à la même; que je prends cette obligation librement, sans aucune réserve mentale ou but d'évasion; et que je m'acquitterai bien et fidèlement des devoirs de la charge dans laquelle je m'apprête à entrer. Aidez-moi donc Dieu.» Cette section n’affecte pas les autres serments requis par la loi.</w:t>
        <w:footnoteReference w:id="405"/>
      </w:r>
    </w:p>
    <w:p>
      <w:pPr>
        <w:pStyle w:val="Style24"/>
        <w:keepNext w:val="0"/>
        <w:keepLines w:val="0"/>
        <w:widowControl w:val="0"/>
        <w:shd w:val="clear" w:color="auto" w:fill="auto"/>
        <w:spacing w:before="0" w:after="280" w:line="264" w:lineRule="auto"/>
        <w:ind w:left="0" w:right="0" w:firstLine="140"/>
        <w:jc w:val="left"/>
      </w:pPr>
      <w:r>
        <w:rPr>
          <w:rStyle w:val="CharStyle25"/>
        </w:rPr>
        <w:t xml:space="preserve">Le Dr Morens, en tant que fonctionnaire, était tenu de s'acquitter fidèlement de ses fonctions. Le Dr Morens n’a pas tenu ce serment.</w:t>
      </w:r>
    </w:p>
    <w:p>
      <w:pPr>
        <w:pStyle w:val="Style24"/>
        <w:keepNext w:val="0"/>
        <w:keepLines w:val="0"/>
        <w:widowControl w:val="0"/>
        <w:shd w:val="clear" w:color="auto" w:fill="auto"/>
        <w:spacing w:before="0" w:after="280"/>
        <w:ind w:left="0" w:right="0" w:firstLine="860"/>
        <w:jc w:val="left"/>
      </w:pPr>
      <w:r>
        <w:rPr>
          <w:rStyle w:val="CharStyle25"/>
        </w:rPr>
        <w:t xml:space="preserve">Parmi de nombreux exemples, le soutien apporté par le Dr Morens aux efforts déployés par le Dr Daszak pour entraver la surveillance de sa subvention par les NIH illustre le fait que le Dr Morens n’a pas été un intendant fidèle de son bureau. Ces actions comprenaient la défense des intérêts auprès du conseil d’administration d’EcoHealth et l’édition de lettres que le Dr Daszak transmettait aux NIH.</w:t>
      </w:r>
    </w:p>
    <w:p>
      <w:pPr>
        <w:pStyle w:val="Style24"/>
        <w:keepNext w:val="0"/>
        <w:keepLines w:val="0"/>
        <w:widowControl w:val="0"/>
        <w:shd w:val="clear" w:color="auto" w:fill="auto"/>
        <w:spacing w:before="0" w:after="380" w:line="264" w:lineRule="auto"/>
        <w:ind w:left="0" w:right="0" w:firstLine="860"/>
        <w:jc w:val="left"/>
      </w:pPr>
      <w:r>
        <w:rPr>
          <w:rStyle w:val="CharStyle25"/>
        </w:rPr>
        <w:t xml:space="preserve">Par exemple, le 29 mars 2021, le Dr Morens a édité une lettre que le Dr Daszak envoyait aux NIH.</w:t>
        <w:footnoteReference w:id="406"/>
        <w:t xml:space="preserve"> En éditant cette lettre, le Dr Morens sapait activement la position des NIH et des États-Unis.</w:t>
      </w:r>
    </w:p>
    <w:p>
      <w:pPr>
        <w:pStyle w:val="Style24"/>
        <w:keepNext w:val="0"/>
        <w:keepLines w:val="0"/>
        <w:widowControl w:val="0"/>
        <w:shd w:val="clear" w:color="auto" w:fill="auto"/>
        <w:tabs>
          <w:tab w:pos="1289" w:val="left"/>
        </w:tabs>
        <w:spacing w:before="0" w:after="0" w:line="240" w:lineRule="auto"/>
        <w:ind w:left="0" w:right="0" w:firstLine="200"/>
        <w:jc w:val="left"/>
      </w:pPr>
      <w:r>
        <w:rPr>
          <w:rStyle w:val="CharStyle25"/>
          <w:b/>
          <w:color w:val="303030"/>
        </w:rPr>
        <w:t xml:space="preserve">À partir de:</w:t>
        <w:tab/>
      </w:r>
      <w:r>
        <w:rPr>
          <w:rStyle w:val="CharStyle25"/>
          <w:color w:val="303030"/>
        </w:rPr>
        <w:t xml:space="preserve">Morens, David (NIH/NIAID) _ _ _ _ _ _ _ _ _ _ _ _ _ _ _ _ _ _ _ _ _ _ _ _ _ _ _ _ _ _ _ _ _ _ _ _ _ _ _</w:t>
      </w:r>
    </w:p>
    <w:p>
      <w:pPr>
        <w:pStyle w:val="Style36"/>
        <w:keepNext w:val="0"/>
        <w:keepLines w:val="0"/>
        <w:widowControl w:val="0"/>
        <w:shd w:val="clear" w:color="auto" w:fill="auto"/>
        <w:tabs>
          <w:tab w:pos="1289" w:val="left"/>
        </w:tabs>
        <w:spacing w:before="0" w:after="0" w:line="240" w:lineRule="auto"/>
        <w:ind w:left="0" w:right="0" w:firstLine="200"/>
        <w:jc w:val="left"/>
      </w:pPr>
      <w:r>
        <w:rPr>
          <w:rStyle w:val="CharStyle37"/>
          <w:color w:val="303030"/>
        </w:rPr>
        <w:t>Envoyé;</w:t>
        <w:tab/>
        <w:t>3/29/2021</w:t>
      </w:r>
    </w:p>
    <w:p>
      <w:pPr>
        <w:pStyle w:val="Style36"/>
        <w:keepNext w:val="0"/>
        <w:keepLines w:val="0"/>
        <w:widowControl w:val="0"/>
        <w:shd w:val="clear" w:color="auto" w:fill="auto"/>
        <w:tabs>
          <w:tab w:pos="1289" w:val="left"/>
          <w:tab w:pos="5466" w:val="right"/>
          <w:tab w:pos="7414" w:val="right"/>
          <w:tab w:pos="7606" w:val="center"/>
        </w:tabs>
        <w:spacing w:before="0" w:after="0" w:line="194" w:lineRule="auto"/>
        <w:ind w:left="0" w:right="0" w:firstLine="200"/>
        <w:jc w:val="left"/>
        <w:rPr>
          <w:sz w:val="15"/>
        </w:rPr>
      </w:pPr>
      <w:r>
        <w:rPr>
          <w:rStyle w:val="CharStyle37"/>
          <w:rFonts w:ascii="Times New Roman" w:hAnsi="Times New Roman" w:cs="Times New Roman" w:eastAsia="Times New Roman"/>
          <w:color w:val="000000"/>
          <w:sz w:val="22"/>
        </w:rPr>
        <w:t xml:space="preserve">À l'attention de:</w:t>
        <w:tab/>
      </w:r>
      <w:r>
        <w:rPr>
          <w:rStyle w:val="CharStyle37"/>
          <w:color w:val="000000"/>
          <w:sz w:val="15"/>
        </w:rPr>
        <w:t xml:space="preserve">Peter Daszak (acteur) </w:t>
      </w:r>
      <w:r>
        <w:rPr>
          <w:rStyle w:val="CharStyle37"/>
          <w:color w:val="303030"/>
          <w:sz w:val="15"/>
        </w:rPr>
        <w:t>Jerry</w:t>
        <w:tab/>
        <w:t>Roberts.</w:t>
        <w:tab/>
        <w:t>Riche</w:t>
      </w:r>
    </w:p>
    <w:p>
      <w:pPr>
        <w:pStyle w:val="Style36"/>
        <w:keepNext w:val="0"/>
        <w:keepLines w:val="0"/>
        <w:widowControl w:val="0"/>
        <w:shd w:val="clear" w:color="auto" w:fill="auto"/>
        <w:tabs>
          <w:tab w:pos="1289" w:val="left"/>
        </w:tabs>
        <w:spacing w:before="0" w:after="0" w:line="194" w:lineRule="auto"/>
        <w:ind w:left="0" w:right="0" w:firstLine="200"/>
        <w:jc w:val="left"/>
      </w:pPr>
      <w:r>
        <w:rPr>
          <w:rStyle w:val="CharStyle37"/>
          <w:rFonts w:ascii="Times New Roman" w:hAnsi="Times New Roman" w:cs="Times New Roman" w:eastAsia="Times New Roman"/>
          <w:b/>
          <w:color w:val="303030"/>
          <w:sz w:val="22"/>
        </w:rPr>
        <w:t xml:space="preserve">CC :</w:t>
        <w:tab/>
      </w:r>
      <w:r>
        <w:rPr>
          <w:rStyle w:val="CharStyle37"/>
          <w:color w:val="303030"/>
        </w:rPr>
        <w:t>Aleksei</w:t>
      </w:r>
    </w:p>
    <w:p>
      <w:pPr>
        <w:pStyle w:val="Style24"/>
        <w:keepNext w:val="0"/>
        <w:keepLines w:val="0"/>
        <w:widowControl w:val="0"/>
        <w:shd w:val="clear" w:color="auto" w:fill="auto"/>
        <w:tabs>
          <w:tab w:pos="1289" w:val="left"/>
        </w:tabs>
        <w:spacing w:before="0" w:after="0" w:line="204" w:lineRule="auto"/>
        <w:ind w:left="0" w:right="0" w:firstLine="200"/>
        <w:jc w:val="left"/>
      </w:pPr>
      <w:r>
        <w:rPr>
          <w:rStyle w:val="CharStyle25"/>
        </w:rPr>
        <w:t>Objet:</w:t>
        <w:tab/>
      </w:r>
      <w:r>
        <w:rPr>
          <w:rStyle w:val="CharStyle25"/>
          <w:color w:val="303030"/>
        </w:rPr>
        <w:t xml:space="preserve">En ce qui concerne: Réponse aux lettres de Michael Lauer</w:t>
      </w:r>
    </w:p>
    <w:p>
      <w:pPr>
        <w:pStyle w:val="Style24"/>
        <w:keepNext w:val="0"/>
        <w:keepLines w:val="0"/>
        <w:widowControl w:val="0"/>
        <w:shd w:val="clear" w:color="auto" w:fill="auto"/>
        <w:spacing w:before="0" w:after="460" w:line="194" w:lineRule="auto"/>
        <w:ind w:left="0" w:right="0" w:firstLine="200"/>
        <w:jc w:val="left"/>
      </w:pPr>
      <w:r>
        <w:rPr>
          <w:rStyle w:val="CharStyle25"/>
          <w:color w:val="303030"/>
        </w:rPr>
        <w:t xml:space="preserve">Pièces jointes: Réponse à NIH Avril 2021 réactivation et suspension de 2R01AI110964 dmm comments.docx</w:t>
      </w:r>
    </w:p>
    <w:p>
      <w:pPr>
        <w:pStyle w:val="Style36"/>
        <w:keepNext w:val="0"/>
        <w:keepLines w:val="0"/>
        <w:widowControl w:val="0"/>
        <w:shd w:val="clear" w:color="auto" w:fill="auto"/>
        <w:spacing w:before="0" w:after="280" w:line="295" w:lineRule="auto"/>
        <w:ind w:left="200" w:right="0" w:firstLine="0"/>
        <w:jc w:val="left"/>
        <w:rPr>
          <w:sz w:val="17"/>
        </w:rPr>
        <w:sectPr>
          <w:footnotePr>
            <w:pos w:val="pageBottom"/>
            <w:numFmt w:val="decimal"/>
            <w:numStart w:val="1455"/>
            <w:numRestart w:val="continuous"/>
            <w15:footnoteColumns w:val="1"/>
          </w:footnotePr>
          <w:type w:val="continuous"/>
          <w:pgSz w:w="12485" w:h="16357"/>
          <w:pgMar w:top="1562" w:right="1418" w:bottom="1634" w:left="1423" w:header="0" w:footer="3" w:gutter="0"/>
          <w:cols w:space="720"/>
          <w:noEndnote/>
          <w:rtlGutter w:val="0"/>
          <w:docGrid w:linePitch="360"/>
        </w:sectPr>
      </w:pPr>
      <w:r>
        <w:rPr>
          <w:rStyle w:val="CharStyle37"/>
          <w:color w:val="303030"/>
          <w:sz w:val="17"/>
        </w:rPr>
        <w:t xml:space="preserve">Peter, a joint quelques modifications pour examen. En général, je pense qu'il fait les bons points et présente un cas fort. Mes commentaires sont le plus souvent mineurs, en plus de clarifier et de simplifier autant que possible, car cela sera probablement lu par Lauer, mais sera peut-être divulgué et lu par beaucoup d'autres, David.</w:t>
      </w:r>
    </w:p>
    <w:p>
      <w:pPr>
        <w:widowControl w:val="0"/>
        <w:jc w:val="center"/>
        <w:rPr>
          <w:sz w:val="2"/>
        </w:rPr>
      </w:pPr>
      <w:r>
        <w:drawing>
          <wp:inline>
            <wp:extent cx="1999615" cy="463550"/>
            <wp:docPr id="192" name="Picutre 192"/>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06"/>
                    <a:stretch/>
                  </pic:blipFill>
                  <pic:spPr>
                    <a:xfrm>
                      <a:ext cx="1999615" cy="463550"/>
                    </a:xfrm>
                    <a:prstGeom prst="rect"/>
                  </pic:spPr>
                </pic:pic>
              </a:graphicData>
            </a:graphic>
          </wp:inline>
        </w:drawing>
      </w:r>
    </w:p>
    <w:p>
      <w:pPr>
        <w:widowControl w:val="0"/>
        <w:spacing w:after="79" w:line="1" w:lineRule="exact"/>
      </w:pPr>
    </w:p>
    <w:p>
      <w:pPr>
        <w:pStyle w:val="Style24"/>
        <w:keepNext w:val="0"/>
        <w:keepLines w:val="0"/>
        <w:widowControl w:val="0"/>
        <w:shd w:val="clear" w:color="auto" w:fill="auto"/>
        <w:spacing w:before="0" w:after="0" w:line="240" w:lineRule="auto"/>
        <w:ind w:left="2120" w:right="0" w:firstLine="0"/>
        <w:jc w:val="left"/>
        <w:rPr>
          <w:sz w:val="20"/>
        </w:rPr>
      </w:pPr>
      <w:r>
        <w:rPr>
          <w:rStyle w:val="CharStyle25"/>
          <w:color w:val="303030"/>
          <w:sz w:val="20"/>
          <w:u w:val="single"/>
        </w:rPr>
        <w:t xml:space="preserve">Rétablissement et suspension immédiate du 2R01AI110964</w:t>
      </w:r>
    </w:p>
    <w:p>
      <w:pPr>
        <w:pStyle w:val="Style24"/>
        <w:keepNext w:val="0"/>
        <w:keepLines w:val="0"/>
        <w:widowControl w:val="0"/>
        <w:shd w:val="clear" w:color="auto" w:fill="auto"/>
        <w:spacing w:before="0" w:after="80" w:line="180" w:lineRule="auto"/>
        <w:ind w:left="2220" w:right="0" w:firstLine="0"/>
        <w:jc w:val="left"/>
        <w:rPr>
          <w:sz w:val="20"/>
        </w:rPr>
      </w:pPr>
      <w:r>
        <w:rPr>
          <w:rStyle w:val="CharStyle25"/>
          <w:color w:val="303030"/>
          <w:sz w:val="20"/>
          <w:u w:val="single"/>
        </w:rPr>
        <w:t xml:space="preserve">«Comprendre le risque d’émergence du coronavirus de la chauve-souris»</w:t>
      </w:r>
    </w:p>
    <w:p>
      <w:pPr>
        <w:pStyle w:val="Style24"/>
        <w:keepNext w:val="0"/>
        <w:keepLines w:val="0"/>
        <w:widowControl w:val="0"/>
        <w:shd w:val="clear" w:color="auto" w:fill="auto"/>
        <w:tabs>
          <w:tab w:pos="6787" w:val="left"/>
        </w:tabs>
        <w:spacing w:before="0" w:after="0" w:line="240" w:lineRule="auto"/>
        <w:ind w:left="0" w:right="0" w:firstLine="960"/>
        <w:jc w:val="left"/>
        <w:rPr>
          <w:sz w:val="8"/>
        </w:rPr>
      </w:pPr>
      <w:r>
        <w:rPr>
          <w:rStyle w:val="CharStyle25"/>
          <w:color w:val="838481"/>
          <w:sz w:val="20"/>
          <w:u w:val="single"/>
        </w:rPr>
        <w:t xml:space="preserve">Peter, ajoute le titre et l'adresse de Lauer ici.,.</w:t>
      </w:r>
      <w:r>
        <w:rPr>
          <w:rStyle w:val="CharStyle25"/>
          <w:color w:val="838481"/>
          <w:sz w:val="20"/>
        </w:rPr>
        <w:tab/>
      </w:r>
      <w:r>
        <w:rPr>
          <w:rStyle w:val="CharStyle25"/>
          <w:rFonts w:ascii="Arial" w:hAnsi="Arial" w:cs="Arial" w:eastAsia="Arial"/>
          <w:b/>
          <w:color w:val="303030"/>
          <w:sz w:val="9"/>
        </w:rPr>
        <w:t xml:space="preserve">Formaté: </w:t>
      </w:r>
      <w:r>
        <w:rPr>
          <w:rStyle w:val="CharStyle25"/>
          <w:rFonts w:ascii="Arial" w:hAnsi="Arial" w:cs="Arial" w:eastAsia="Arial"/>
          <w:color w:val="303030"/>
          <w:sz w:val="8"/>
        </w:rPr>
        <w:t xml:space="preserve">Mettre en évidence</w:t>
      </w:r>
    </w:p>
    <w:p>
      <w:pPr>
        <w:pStyle w:val="Style24"/>
        <w:keepNext w:val="0"/>
        <w:keepLines w:val="0"/>
        <w:widowControl w:val="0"/>
        <w:shd w:val="clear" w:color="auto" w:fill="auto"/>
        <w:spacing w:before="0" w:after="300" w:line="180" w:lineRule="auto"/>
        <w:ind w:left="5560" w:right="0" w:firstLine="0"/>
        <w:jc w:val="left"/>
        <w:rPr>
          <w:sz w:val="20"/>
        </w:rPr>
      </w:pPr>
      <w:r>
        <w:rPr>
          <w:rStyle w:val="CharStyle25"/>
          <w:color w:val="303030"/>
          <w:sz w:val="20"/>
        </w:rPr>
        <w:t xml:space="preserve">2 avril 2021</w:t>
      </w:r>
    </w:p>
    <w:p>
      <w:pPr>
        <w:pStyle w:val="Style24"/>
        <w:keepNext w:val="0"/>
        <w:keepLines w:val="0"/>
        <w:widowControl w:val="0"/>
        <w:shd w:val="clear" w:color="auto" w:fill="auto"/>
        <w:spacing w:before="0" w:after="300" w:line="170" w:lineRule="auto"/>
        <w:ind w:left="960" w:right="0" w:firstLine="0"/>
        <w:jc w:val="left"/>
        <w:rPr>
          <w:sz w:val="20"/>
        </w:rPr>
      </w:pPr>
      <w:r>
        <w:rPr>
          <w:rStyle w:val="CharStyle25"/>
          <w:color w:val="303030"/>
          <w:sz w:val="20"/>
        </w:rPr>
        <w:t>Monsieur,</w:t>
      </w:r>
    </w:p>
    <w:p>
      <w:pPr>
        <w:pStyle w:val="Style24"/>
        <w:keepNext w:val="0"/>
        <w:keepLines w:val="0"/>
        <w:widowControl w:val="0"/>
        <w:shd w:val="clear" w:color="auto" w:fill="auto"/>
        <w:spacing w:before="0" w:after="160" w:line="178" w:lineRule="auto"/>
        <w:ind w:left="960" w:right="0" w:firstLine="0"/>
        <w:jc w:val="left"/>
        <w:rPr>
          <w:sz w:val="20"/>
        </w:rPr>
      </w:pPr>
      <w:r>
        <w:rPr>
          <w:rStyle w:val="CharStyle25"/>
          <w:color w:val="464648"/>
          <w:sz w:val="20"/>
        </w:rPr>
        <w:t xml:space="preserve">La présente </w:t>
      </w:r>
      <w:r>
        <w:rPr>
          <w:rStyle w:val="CharStyle25"/>
          <w:color w:val="303030"/>
          <w:sz w:val="20"/>
        </w:rPr>
        <w:t xml:space="preserve">est une réponse à vos lettres des 7/8/2020 et 10/3/2020 concernant le rétablissement et la </w:t>
      </w:r>
      <w:r>
        <w:rPr>
          <w:rStyle w:val="CharStyle25"/>
          <w:color w:val="464648"/>
          <w:sz w:val="20"/>
        </w:rPr>
        <w:t xml:space="preserve"> </w:t>
      </w:r>
      <w:r>
        <w:rPr>
          <w:rStyle w:val="CharStyle25"/>
          <w:color w:val="303030"/>
          <w:sz w:val="20"/>
        </w:rPr>
        <w:t xml:space="preserve">suspension immédiate de la </w:t>
      </w:r>
      <w:r>
        <w:rPr>
          <w:rStyle w:val="CharStyle25"/>
          <w:color w:val="303030"/>
          <w:sz w:val="20"/>
        </w:rPr>
        <w:t>subvention</w:t>
      </w:r>
      <w:r>
        <w:rPr>
          <w:rStyle w:val="CharStyle25"/>
          <w:color w:val="739BB0"/>
          <w:sz w:val="20"/>
          <w:u w:val="single"/>
        </w:rPr>
        <w:t>Nil-i</w:t>
      </w:r>
      <w:r>
        <w:rPr>
          <w:rStyle w:val="CharStyle25"/>
          <w:color w:val="739BB0"/>
          <w:sz w:val="20"/>
        </w:rPr>
        <w:t xml:space="preserve"> </w:t>
      </w:r>
      <w:r>
        <w:rPr>
          <w:rStyle w:val="CharStyle25"/>
          <w:color w:val="303030"/>
          <w:sz w:val="20"/>
        </w:rPr>
        <w:t xml:space="preserve">2R01AI110964 «Comprendre le risque d’émergence </w:t>
      </w:r>
      <w:r>
        <w:rPr>
          <w:rStyle w:val="CharStyle25"/>
          <w:color w:val="739BB0"/>
          <w:sz w:val="20"/>
          <w:u w:val="single"/>
        </w:rPr>
        <w:t xml:space="preserve">du coronavirus de la chauve-souris»,</w:t>
      </w:r>
      <w:r>
        <w:rPr>
          <w:rStyle w:val="CharStyle25"/>
          <w:color w:val="739BB0"/>
          <w:sz w:val="20"/>
        </w:rPr>
        <w:t xml:space="preserve"> </w:t>
      </w:r>
      <w:r>
        <w:rPr>
          <w:rStyle w:val="CharStyle25"/>
          <w:color w:val="739BB0"/>
          <w:sz w:val="20"/>
        </w:rPr>
        <w:t>qui</w:t>
      </w:r>
      <w:r>
        <w:rPr>
          <w:rStyle w:val="CharStyle25"/>
          <w:color w:val="303030"/>
          <w:sz w:val="20"/>
        </w:rPr>
        <w:t xml:space="preserve">a été </w:t>
      </w:r>
      <w:r>
        <w:rPr>
          <w:rStyle w:val="CharStyle25"/>
          <w:color w:val="739BB0"/>
          <w:sz w:val="20"/>
        </w:rPr>
        <w:t xml:space="preserve"> </w:t>
      </w:r>
      <w:r>
        <w:rPr>
          <w:rStyle w:val="CharStyle25"/>
          <w:color w:val="739BB0"/>
          <w:sz w:val="20"/>
          <w:u w:val="single"/>
        </w:rPr>
        <w:t>résiliée</w:t>
      </w:r>
      <w:r>
        <w:rPr>
          <w:rStyle w:val="CharStyle25"/>
          <w:rFonts w:ascii="Arial" w:hAnsi="Arial" w:cs="Arial" w:eastAsia="Arial"/>
          <w:strike/>
          <w:color w:val="739BB0"/>
          <w:sz w:val="16"/>
        </w:rPr>
        <w:t>pr</w:t>
      </w:r>
      <w:r>
        <w:rPr>
          <w:rStyle w:val="CharStyle25"/>
          <w:color w:val="739BB0"/>
          <w:sz w:val="20"/>
        </w:rPr>
        <w:t>e</w:t>
      </w:r>
      <w:r>
        <w:rPr>
          <w:rStyle w:val="CharStyle25"/>
          <w:rFonts w:ascii="Arial" w:hAnsi="Arial" w:cs="Arial" w:eastAsia="Arial"/>
          <w:strike/>
          <w:color w:val="739BB0"/>
          <w:sz w:val="16"/>
        </w:rPr>
        <w:t>v</w:t>
      </w:r>
      <w:r>
        <w:rPr>
          <w:rStyle w:val="CharStyle25"/>
          <w:color w:val="739BB0"/>
          <w:sz w:val="20"/>
          <w:u w:val="single"/>
        </w:rPr>
        <w:t>i</w:t>
      </w:r>
      <w:r>
        <w:rPr>
          <w:rStyle w:val="CharStyle25"/>
          <w:rFonts w:ascii="Arial" w:hAnsi="Arial" w:cs="Arial" w:eastAsia="Arial"/>
          <w:strike/>
          <w:color w:val="739BB0"/>
          <w:sz w:val="16"/>
        </w:rPr>
        <w:t>ou</w:t>
      </w:r>
      <w:r>
        <w:rPr>
          <w:rStyle w:val="CharStyle25"/>
          <w:color w:val="303030"/>
          <w:sz w:val="20"/>
        </w:rPr>
        <w:t xml:space="preserve">sly </w:t>
      </w:r>
      <w:r>
        <w:rPr>
          <w:rStyle w:val="CharStyle25"/>
          <w:color w:val="464648"/>
          <w:sz w:val="20"/>
        </w:rPr>
        <w:t xml:space="preserve"> </w:t>
      </w:r>
      <w:r>
        <w:rPr>
          <w:rStyle w:val="CharStyle25"/>
          <w:color w:val="303030"/>
          <w:sz w:val="20"/>
        </w:rPr>
        <w:t xml:space="preserve">«pour des raisons de commodité» </w:t>
      </w:r>
      <w:r>
        <w:rPr>
          <w:rStyle w:val="CharStyle25"/>
          <w:color w:val="464648"/>
          <w:sz w:val="20"/>
        </w:rPr>
        <w:t xml:space="preserve">le </w:t>
      </w:r>
      <w:r>
        <w:rPr>
          <w:rStyle w:val="CharStyle25"/>
          <w:color w:val="303030"/>
          <w:sz w:val="20"/>
        </w:rPr>
        <w:t xml:space="preserve">24/04/2020. </w:t>
      </w:r>
      <w:r>
        <w:rPr>
          <w:rStyle w:val="CharStyle25"/>
          <w:color w:val="464648"/>
          <w:sz w:val="20"/>
        </w:rPr>
        <w:t xml:space="preserve">En </w:t>
      </w:r>
      <w:r>
        <w:rPr>
          <w:rStyle w:val="CharStyle25"/>
          <w:color w:val="303030"/>
          <w:sz w:val="20"/>
        </w:rPr>
        <w:t xml:space="preserve">particulier, je souhaite répondre aux conditions que vous déclarez devoir être adressées ⁇ </w:t>
      </w:r>
      <w:r>
        <w:rPr>
          <w:rStyle w:val="CharStyle25"/>
          <w:color w:val="739BB0"/>
          <w:sz w:val="20"/>
        </w:rPr>
        <w:t>ou</w:t>
      </w:r>
      <w:r>
        <w:rPr>
          <w:rStyle w:val="CharStyle25"/>
          <w:color w:val="739BB0"/>
          <w:sz w:val="20"/>
          <w:u w:val="single"/>
        </w:rPr>
        <w:t>d</w:t>
      </w:r>
      <w:r>
        <w:rPr>
          <w:rStyle w:val="CharStyle25"/>
          <w:color w:val="739BB0"/>
          <w:sz w:val="20"/>
        </w:rPr>
        <w:t xml:space="preserve">er foru</w:t>
      </w:r>
      <w:r>
        <w:rPr>
          <w:rStyle w:val="CharStyle25"/>
          <w:color w:val="739BB0"/>
          <w:sz w:val="20"/>
          <w:u w:val="single"/>
        </w:rPr>
        <w:t xml:space="preserve">s^à un</w:t>
      </w:r>
      <w:r>
        <w:rPr>
          <w:rStyle w:val="CharStyle25"/>
          <w:color w:val="739BB0"/>
          <w:sz w:val="20"/>
        </w:rPr>
        <w:t xml:space="preserve">gain havepfieMe </w:t>
      </w:r>
      <w:r>
        <w:rPr>
          <w:rStyle w:val="CharStyle25"/>
          <w:rFonts w:ascii="Arial" w:hAnsi="Arial" w:cs="Arial" w:eastAsia="Arial"/>
          <w:strike/>
          <w:color w:val="739BB0"/>
          <w:sz w:val="16"/>
        </w:rPr>
        <w:t>permettre</w:t>
      </w:r>
      <w:r>
        <w:rPr>
          <w:rStyle w:val="CharStyle25"/>
          <w:color w:val="739BB0"/>
          <w:sz w:val="20"/>
        </w:rPr>
        <w:t>i</w:t>
      </w:r>
      <w:r>
        <w:rPr>
          <w:rStyle w:val="CharStyle25"/>
          <w:rFonts w:ascii="Arial" w:hAnsi="Arial" w:cs="Arial" w:eastAsia="Arial"/>
          <w:strike/>
          <w:color w:val="739BB0"/>
          <w:sz w:val="16"/>
        </w:rPr>
        <w:t>ng</w:t>
      </w:r>
      <w:r>
        <w:rPr>
          <w:rStyle w:val="CharStyle25"/>
          <w:color w:val="739BB0"/>
          <w:sz w:val="20"/>
        </w:rPr>
        <w:t xml:space="preserve"> </w:t>
      </w:r>
      <w:r>
        <w:rPr>
          <w:rStyle w:val="CharStyle25"/>
          <w:color w:val="464648"/>
          <w:sz w:val="20"/>
        </w:rPr>
        <w:t xml:space="preserve">accès aux </w:t>
      </w:r>
      <w:r>
        <w:rPr>
          <w:rStyle w:val="CharStyle25"/>
          <w:color w:val="303030"/>
          <w:sz w:val="20"/>
        </w:rPr>
        <w:t xml:space="preserve">fonds pour </w:t>
      </w:r>
      <w:r>
        <w:rPr>
          <w:rStyle w:val="CharStyle25"/>
          <w:color w:val="739BB0"/>
          <w:sz w:val="20"/>
          <w:u w:val="single"/>
        </w:rPr>
        <w:t>continuer</w:t>
      </w:r>
      <w:r>
        <w:rPr>
          <w:rStyle w:val="CharStyle25"/>
          <w:color w:val="303030"/>
          <w:sz w:val="20"/>
        </w:rPr>
        <w:t>d^</w:t>
      </w:r>
      <w:r>
        <w:rPr>
          <w:rStyle w:val="CharStyle25"/>
          <w:color w:val="739BB0"/>
          <w:sz w:val="20"/>
        </w:rPr>
        <w:t xml:space="preserve"> </w:t>
      </w:r>
      <w:r>
        <w:rPr>
          <w:rStyle w:val="CharStyle25"/>
          <w:color w:val="303030"/>
          <w:sz w:val="20"/>
        </w:rPr>
        <w:t xml:space="preserve">ce travail.</w:t>
      </w:r>
    </w:p>
    <w:p>
      <w:pPr>
        <w:pStyle w:val="Style24"/>
        <w:keepNext w:val="0"/>
        <w:keepLines w:val="0"/>
        <w:widowControl w:val="0"/>
        <w:shd w:val="clear" w:color="auto" w:fill="auto"/>
        <w:spacing w:before="0" w:after="160" w:line="168" w:lineRule="auto"/>
        <w:ind w:left="960" w:right="0" w:firstLine="0"/>
        <w:jc w:val="left"/>
        <w:rPr>
          <w:sz w:val="20"/>
        </w:rPr>
      </w:pPr>
      <w:r>
        <w:rPr>
          <w:rStyle w:val="CharStyle25"/>
          <w:color w:val="303030"/>
          <w:sz w:val="20"/>
        </w:rPr>
        <w:t xml:space="preserve">Comme vous le savez, immédiatement après la demande des NIH </w:t>
      </w:r>
      <w:r>
        <w:rPr>
          <w:rStyle w:val="CharStyle25"/>
          <w:sz w:val="20"/>
        </w:rPr>
        <w:t xml:space="preserve">dans </w:t>
      </w:r>
      <w:r>
        <w:rPr>
          <w:rStyle w:val="CharStyle25"/>
          <w:color w:val="303030"/>
          <w:sz w:val="20"/>
        </w:rPr>
        <w:t xml:space="preserve">la lettre de résiliation du 24/04/2020, nous </w:t>
      </w:r>
      <w:r>
        <w:rPr>
          <w:rStyle w:val="CharStyle25"/>
          <w:color w:val="739BB0"/>
          <w:sz w:val="20"/>
        </w:rPr>
        <w:t xml:space="preserve">avions </w:t>
      </w:r>
      <w:r>
        <w:rPr>
          <w:rStyle w:val="CharStyle25"/>
          <w:color w:val="303030"/>
          <w:sz w:val="20"/>
        </w:rPr>
        <w:t xml:space="preserve">cessé tout travail contractuel avec l'Institut de virologie de Wuhan. La </w:t>
      </w:r>
      <w:r>
        <w:rPr>
          <w:rStyle w:val="CharStyle25"/>
          <w:color w:val="739BB0"/>
          <w:sz w:val="20"/>
          <w:u w:val="single"/>
        </w:rPr>
        <w:t>résiliation</w:t>
      </w:r>
      <w:r>
        <w:rPr>
          <w:rStyle w:val="CharStyle25"/>
          <w:color w:val="303030"/>
          <w:sz w:val="20"/>
        </w:rPr>
        <w:t>te4aek</w:t>
      </w:r>
      <w:r>
        <w:rPr>
          <w:rStyle w:val="CharStyle25"/>
          <w:color w:val="739BB0"/>
          <w:sz w:val="20"/>
        </w:rPr>
        <w:t xml:space="preserve"> </w:t>
      </w:r>
      <w:r>
        <w:rPr>
          <w:rStyle w:val="CharStyle25"/>
          <w:color w:val="303030"/>
          <w:sz w:val="20"/>
        </w:rPr>
        <w:t xml:space="preserve">d'une relation financée avec l'institut rend </w:t>
      </w:r>
      <w:r>
        <w:rPr>
          <w:rStyle w:val="CharStyle25"/>
          <w:sz w:val="20"/>
        </w:rPr>
        <w:t xml:space="preserve"> </w:t>
      </w:r>
      <w:r>
        <w:rPr>
          <w:rStyle w:val="CharStyle25"/>
          <w:color w:val="303030"/>
          <w:sz w:val="20"/>
        </w:rPr>
        <w:t xml:space="preserve">extraordinairement difficile, voire impossible, de fournir les informations demandées sur une organisation étrangère </w:t>
      </w:r>
      <w:r>
        <w:rPr>
          <w:rStyle w:val="CharStyle25"/>
          <w:color w:val="467886"/>
          <w:sz w:val="20"/>
        </w:rPr>
        <w:t xml:space="preserve">- </w:t>
      </w:r>
      <w:r>
        <w:rPr>
          <w:rStyle w:val="CharStyle25"/>
          <w:color w:val="739BB0"/>
          <w:sz w:val="20"/>
          <w:u w:val="single"/>
        </w:rPr>
        <w:t xml:space="preserve">comme ce serait le cas pour</w:t>
      </w:r>
      <w:r>
        <w:rPr>
          <w:rStyle w:val="CharStyle25"/>
          <w:color w:val="739BB0"/>
          <w:sz w:val="20"/>
        </w:rPr>
        <w:t xml:space="preserve">er-même </w:t>
      </w:r>
      <w:r>
        <w:rPr>
          <w:rStyle w:val="CharStyle25"/>
          <w:color w:val="464648"/>
          <w:sz w:val="20"/>
        </w:rPr>
        <w:t xml:space="preserve">une </w:t>
      </w:r>
      <w:r>
        <w:rPr>
          <w:rStyle w:val="CharStyle25"/>
          <w:color w:val="303030"/>
          <w:sz w:val="20"/>
        </w:rPr>
        <w:t xml:space="preserve">organisation nationale - avec laquelle notre organisation ne travaille pas actuellement ni n'a </w:t>
      </w:r>
      <w:r>
        <w:rPr>
          <w:rStyle w:val="CharStyle25"/>
          <w:color w:val="303030"/>
          <w:sz w:val="20"/>
        </w:rPr>
        <w:t xml:space="preserve">de </w:t>
      </w:r>
      <w:r>
        <w:rPr>
          <w:rStyle w:val="CharStyle25"/>
          <w:color w:val="739BB0"/>
          <w:sz w:val="20"/>
          <w:u w:val="single"/>
        </w:rPr>
        <w:t xml:space="preserve">contrôle sur</w:t>
      </w:r>
      <w:r>
        <w:rPr>
          <w:rStyle w:val="CharStyle25"/>
          <w:color w:val="739BB0"/>
          <w:sz w:val="20"/>
        </w:rPr>
        <w:t>l'art.</w:t>
      </w:r>
      <w:r>
        <w:rPr>
          <w:rStyle w:val="CharStyle25"/>
          <w:color w:val="739BB0"/>
          <w:sz w:val="20"/>
        </w:rPr>
        <w:t xml:space="preserve"> </w:t>
      </w:r>
    </w:p>
    <w:p>
      <w:pPr>
        <w:pStyle w:val="Style24"/>
        <w:keepNext w:val="0"/>
        <w:keepLines w:val="0"/>
        <w:widowControl w:val="0"/>
        <w:shd w:val="clear" w:color="auto" w:fill="auto"/>
        <w:spacing w:before="0" w:after="160" w:line="170" w:lineRule="auto"/>
        <w:ind w:left="960" w:right="0" w:firstLine="0"/>
        <w:jc w:val="left"/>
        <w:rPr>
          <w:sz w:val="20"/>
        </w:rPr>
      </w:pPr>
      <w:r>
        <w:rPr>
          <w:rStyle w:val="CharStyle25"/>
          <w:color w:val="303030"/>
          <w:sz w:val="20"/>
        </w:rPr>
        <w:t xml:space="preserve">En outre, notre travail de collaboration avec l'Institut de virologie de Wuhan avant le 24/04/2020 et celui prévu dans le cadre de la </w:t>
      </w:r>
      <w:r>
        <w:rPr>
          <w:rStyle w:val="CharStyle25"/>
          <w:color w:val="303030"/>
          <w:sz w:val="20"/>
        </w:rPr>
        <w:t>subvention</w:t>
      </w:r>
      <w:r>
        <w:rPr>
          <w:rStyle w:val="CharStyle25"/>
          <w:rFonts w:ascii="Arial" w:hAnsi="Arial" w:cs="Arial" w:eastAsia="Arial"/>
          <w:strike/>
          <w:color w:val="739BB0"/>
          <w:sz w:val="16"/>
        </w:rPr>
        <w:t>suspendue,</w:t>
      </w:r>
      <w:r>
        <w:rPr>
          <w:rStyle w:val="CharStyle25"/>
          <w:color w:val="739BB0"/>
          <w:sz w:val="20"/>
        </w:rPr>
        <w:t xml:space="preserve"> </w:t>
      </w:r>
      <w:r>
        <w:rPr>
          <w:rStyle w:val="CharStyle25"/>
          <w:color w:val="303030"/>
          <w:sz w:val="20"/>
        </w:rPr>
        <w:t>n'est</w:t>
      </w:r>
      <w:r>
        <w:rPr>
          <w:rStyle w:val="CharStyle25"/>
          <w:color w:val="303030"/>
          <w:sz w:val="20"/>
        </w:rPr>
        <w:t xml:space="preserve">absolument pas lié </w:t>
      </w:r>
      <w:r>
        <w:rPr>
          <w:rStyle w:val="CharStyle25"/>
          <w:sz w:val="20"/>
        </w:rPr>
        <w:t xml:space="preserve">à </w:t>
      </w:r>
      <w:r>
        <w:rPr>
          <w:rStyle w:val="CharStyle25"/>
          <w:color w:val="303030"/>
          <w:sz w:val="20"/>
        </w:rPr>
        <w:t xml:space="preserve">certaines des</w:t>
      </w:r>
      <w:r>
        <w:rPr>
          <w:rStyle w:val="CharStyle25"/>
          <w:color w:val="303030"/>
          <w:sz w:val="20"/>
        </w:rPr>
        <w:t>conditions</w:t>
      </w:r>
      <w:r>
        <w:rPr>
          <w:rStyle w:val="CharStyle25"/>
          <w:color w:val="739BB0"/>
          <w:sz w:val="20"/>
          <w:u w:val="single"/>
        </w:rPr>
        <w:t xml:space="preserve">stipulées par NiH </w:t>
      </w:r>
      <w:r>
        <w:rPr>
          <w:rStyle w:val="CharStyle25"/>
          <w:color w:val="303030"/>
          <w:sz w:val="20"/>
        </w:rPr>
        <w:t xml:space="preserve">énumérées ci-dessous, </w:t>
      </w:r>
      <w:r>
        <w:rPr>
          <w:rStyle w:val="CharStyle25"/>
          <w:color w:val="303030"/>
          <w:sz w:val="20"/>
        </w:rPr>
        <w:t xml:space="preserve">et concerne des situations</w:t>
      </w:r>
      <w:r>
        <w:rPr>
          <w:rStyle w:val="CharStyle25"/>
          <w:color w:val="303030"/>
          <w:sz w:val="20"/>
        </w:rPr>
        <w:t xml:space="preserve">d'événements qui </w:t>
      </w:r>
      <w:r>
        <w:rPr>
          <w:rStyle w:val="CharStyle25"/>
          <w:color w:val="739BB0"/>
          <w:sz w:val="20"/>
          <w:u w:val="single"/>
        </w:rPr>
        <w:t xml:space="preserve"> </w:t>
      </w:r>
      <w:r>
        <w:rPr>
          <w:rStyle w:val="CharStyle25"/>
          <w:color w:val="303030"/>
          <w:sz w:val="20"/>
        </w:rPr>
        <w:t xml:space="preserve"> </w:t>
      </w:r>
      <w:r>
        <w:rPr>
          <w:rStyle w:val="CharStyle25"/>
          <w:sz w:val="20"/>
        </w:rPr>
        <w:t xml:space="preserve"> </w:t>
      </w:r>
      <w:r>
        <w:rPr>
          <w:rStyle w:val="CharStyle25"/>
          <w:color w:val="303030"/>
          <w:sz w:val="20"/>
        </w:rPr>
        <w:t xml:space="preserve">n'impliquent en aucun cas EcoHealth Alliance. </w:t>
      </w:r>
      <w:r>
        <w:rPr>
          <w:rStyle w:val="CharStyle25"/>
          <w:color w:val="467886"/>
          <w:sz w:val="20"/>
        </w:rPr>
        <w:t>En</w:t>
      </w:r>
      <w:r>
        <w:rPr>
          <w:rStyle w:val="CharStyle25"/>
          <w:color w:val="467886"/>
          <w:sz w:val="20"/>
          <w:u w:val="single"/>
        </w:rPr>
        <w:t xml:space="preserve">bref, </w:t>
      </w:r>
      <w:r>
        <w:rPr>
          <w:rStyle w:val="CharStyle25"/>
          <w:color w:val="739BB0"/>
          <w:sz w:val="20"/>
        </w:rPr>
        <w:t xml:space="preserve"> </w:t>
      </w:r>
      <w:r>
        <w:rPr>
          <w:rStyle w:val="CharStyle25"/>
          <w:color w:val="464648"/>
          <w:sz w:val="20"/>
        </w:rPr>
        <w:t xml:space="preserve">la plupart </w:t>
      </w:r>
      <w:r>
        <w:rPr>
          <w:rStyle w:val="CharStyle25"/>
          <w:color w:val="739BB0"/>
          <w:sz w:val="20"/>
        </w:rPr>
        <w:t xml:space="preserve"> </w:t>
      </w:r>
      <w:r>
        <w:rPr>
          <w:rStyle w:val="CharStyle25"/>
          <w:rFonts w:ascii="Arial" w:hAnsi="Arial" w:cs="Arial" w:eastAsia="Arial"/>
          <w:strike/>
          <w:color w:val="739BB0"/>
          <w:sz w:val="16"/>
        </w:rPr>
        <w:t>des</w:t>
      </w:r>
      <w:r>
        <w:rPr>
          <w:rStyle w:val="CharStyle25"/>
          <w:color w:val="303030"/>
          <w:sz w:val="20"/>
        </w:rPr>
        <w:t xml:space="preserve">conditions ci-dessous </w:t>
      </w:r>
      <w:r>
        <w:rPr>
          <w:rStyle w:val="CharStyle25"/>
          <w:color w:val="739BB0"/>
          <w:sz w:val="20"/>
          <w:u w:val="single"/>
        </w:rPr>
        <w:t>ne</w:t>
      </w:r>
      <w:r>
        <w:rPr>
          <w:rStyle w:val="CharStyle25"/>
          <w:color w:val="464648"/>
          <w:sz w:val="20"/>
        </w:rPr>
        <w:t>sont</w:t>
      </w:r>
      <w:r>
        <w:rPr>
          <w:rStyle w:val="CharStyle25"/>
          <w:color w:val="739BB0"/>
          <w:sz w:val="20"/>
        </w:rPr>
        <w:t xml:space="preserve">pas </w:t>
      </w:r>
      <w:r>
        <w:rPr>
          <w:rStyle w:val="CharStyle25"/>
          <w:color w:val="464648"/>
          <w:sz w:val="20"/>
        </w:rPr>
        <w:t xml:space="preserve">directement liées </w:t>
      </w:r>
      <w:r>
        <w:rPr>
          <w:rStyle w:val="CharStyle25"/>
          <w:color w:val="303030"/>
          <w:sz w:val="20"/>
        </w:rPr>
        <w:t xml:space="preserve">à </w:t>
      </w:r>
      <w:r>
        <w:rPr>
          <w:rStyle w:val="CharStyle25"/>
          <w:color w:val="739BB0"/>
          <w:sz w:val="20"/>
          <w:u w:val="single"/>
        </w:rPr>
        <w:t>la</w:t>
      </w:r>
      <w:r>
        <w:rPr>
          <w:rStyle w:val="CharStyle25"/>
          <w:color w:val="464648"/>
          <w:sz w:val="20"/>
        </w:rPr>
        <w:t xml:space="preserve">recherche </w:t>
      </w:r>
      <w:r>
        <w:rPr>
          <w:rStyle w:val="CharStyle25"/>
          <w:color w:val="303030"/>
          <w:sz w:val="20"/>
        </w:rPr>
        <w:t xml:space="preserve">prévue par </w:t>
      </w:r>
      <w:r>
        <w:rPr>
          <w:rStyle w:val="CharStyle25"/>
          <w:color w:val="464648"/>
          <w:sz w:val="20"/>
        </w:rPr>
        <w:t xml:space="preserve">EcoHealth </w:t>
      </w:r>
      <w:r>
        <w:rPr>
          <w:rStyle w:val="CharStyle25"/>
          <w:color w:val="739BB0"/>
          <w:sz w:val="20"/>
        </w:rPr>
        <w:t>Alliance,</w:t>
      </w:r>
      <w:r>
        <w:rPr>
          <w:rStyle w:val="CharStyle25"/>
          <w:color w:val="739BB0"/>
          <w:sz w:val="20"/>
          <w:u w:val="single"/>
        </w:rPr>
        <w:t xml:space="preserve">comme indiqué </w:t>
      </w:r>
      <w:r>
        <w:rPr>
          <w:rStyle w:val="CharStyle25"/>
          <w:color w:val="303030"/>
          <w:sz w:val="20"/>
        </w:rPr>
        <w:t xml:space="preserve">dans notre demande de </w:t>
      </w:r>
      <w:r>
        <w:rPr>
          <w:rStyle w:val="CharStyle25"/>
          <w:color w:val="739BB0"/>
          <w:sz w:val="20"/>
        </w:rPr>
        <w:t xml:space="preserve">renouvellement, ni</w:t>
      </w:r>
      <w:r>
        <w:rPr>
          <w:rStyle w:val="CharStyle25"/>
          <w:color w:val="464648"/>
          <w:sz w:val="20"/>
        </w:rPr>
        <w:t xml:space="preserve">à </w:t>
      </w:r>
      <w:r>
        <w:rPr>
          <w:rStyle w:val="CharStyle25"/>
          <w:color w:val="303030"/>
          <w:sz w:val="20"/>
        </w:rPr>
        <w:t xml:space="preserve">la biosécurité </w:t>
      </w:r>
      <w:r>
        <w:rPr>
          <w:rStyle w:val="CharStyle25"/>
          <w:color w:val="464648"/>
          <w:sz w:val="20"/>
        </w:rPr>
        <w:t xml:space="preserve">de notre </w:t>
      </w:r>
      <w:r>
        <w:rPr>
          <w:rStyle w:val="CharStyle25"/>
          <w:color w:val="303030"/>
          <w:sz w:val="20"/>
        </w:rPr>
        <w:t>recherche</w:t>
      </w:r>
      <w:r>
        <w:rPr>
          <w:rStyle w:val="CharStyle25"/>
          <w:color w:val="739BB0"/>
          <w:sz w:val="20"/>
        </w:rPr>
        <w:t xml:space="preserve">continue financée </w:t>
      </w:r>
      <w:r>
        <w:rPr>
          <w:rStyle w:val="CharStyle25"/>
          <w:color w:val="303030"/>
          <w:sz w:val="20"/>
        </w:rPr>
        <w:t xml:space="preserve">par la </w:t>
      </w:r>
      <w:r>
        <w:rPr>
          <w:rStyle w:val="CharStyle25"/>
          <w:color w:val="303030"/>
          <w:sz w:val="20"/>
          <w:u w:val="single"/>
        </w:rPr>
        <w:t>subvention</w:t>
      </w:r>
      <w:r>
        <w:rPr>
          <w:rStyle w:val="CharStyle25"/>
          <w:color w:val="739BB0"/>
          <w:sz w:val="20"/>
          <w:u w:val="single"/>
        </w:rPr>
        <w:t xml:space="preserve">suspendue </w:t>
      </w:r>
      <w:r>
        <w:rPr>
          <w:rStyle w:val="CharStyle25"/>
          <w:color w:val="303030"/>
          <w:sz w:val="20"/>
        </w:rPr>
        <w:t xml:space="preserve">lorsque la subvention est rétablie dans son intégralité.</w:t>
      </w:r>
    </w:p>
    <w:p>
      <w:pPr>
        <w:pStyle w:val="Style24"/>
        <w:keepNext w:val="0"/>
        <w:keepLines w:val="0"/>
        <w:widowControl w:val="0"/>
        <w:shd w:val="clear" w:color="auto" w:fill="auto"/>
        <w:spacing w:before="0" w:after="160" w:line="173" w:lineRule="auto"/>
        <w:ind w:left="960" w:right="0" w:firstLine="0"/>
        <w:jc w:val="left"/>
        <w:rPr>
          <w:sz w:val="20"/>
        </w:rPr>
      </w:pPr>
      <w:r>
        <w:rPr>
          <w:rStyle w:val="CharStyle25"/>
          <w:color w:val="464648"/>
          <w:sz w:val="20"/>
        </w:rPr>
        <w:t xml:space="preserve">Cependant, malgré </w:t>
      </w:r>
      <w:r>
        <w:rPr>
          <w:rStyle w:val="CharStyle25"/>
          <w:color w:val="303030"/>
          <w:sz w:val="20"/>
        </w:rPr>
        <w:t xml:space="preserve">nos </w:t>
      </w:r>
      <w:r>
        <w:rPr>
          <w:rStyle w:val="CharStyle25"/>
          <w:color w:val="739BB0"/>
          <w:sz w:val="20"/>
        </w:rPr>
        <w:t>critiques</w:t>
      </w:r>
      <w:r>
        <w:rPr>
          <w:rStyle w:val="CharStyle25"/>
          <w:color w:val="739BB0"/>
          <w:sz w:val="20"/>
          <w:u w:val="single"/>
        </w:rPr>
        <w:t xml:space="preserve">sur la pertinence et l'équité</w:t>
      </w:r>
      <w:r>
        <w:rPr>
          <w:rStyle w:val="CharStyle25"/>
          <w:color w:val="739BB0"/>
          <w:sz w:val="20"/>
          <w:u w:val="single"/>
        </w:rPr>
        <w:t xml:space="preserve"> </w:t>
      </w:r>
      <w:r>
        <w:rPr>
          <w:rStyle w:val="CharStyle25"/>
          <w:color w:val="739BB0"/>
          <w:sz w:val="20"/>
        </w:rPr>
        <w:t>des</w:t>
      </w:r>
      <w:r>
        <w:rPr>
          <w:rStyle w:val="CharStyle25"/>
          <w:rFonts w:ascii="Arial" w:hAnsi="Arial" w:cs="Arial" w:eastAsia="Arial"/>
          <w:strike/>
          <w:color w:val="739BB0"/>
          <w:sz w:val="16"/>
        </w:rPr>
        <w:t>conditions</w:t>
      </w:r>
      <w:r>
        <w:rPr>
          <w:rStyle w:val="CharStyle25"/>
          <w:color w:val="739BB0"/>
          <w:sz w:val="20"/>
        </w:rPr>
        <w:t xml:space="preserve"> </w:t>
      </w:r>
      <w:r>
        <w:rPr>
          <w:rStyle w:val="CharStyle25"/>
          <w:color w:val="303030"/>
          <w:sz w:val="20"/>
        </w:rPr>
        <w:t xml:space="preserve">énoncées en détail ci-dessous,</w:t>
      </w:r>
      <w:r>
        <w:rPr>
          <w:rStyle w:val="CharStyle25"/>
          <w:color w:val="303030"/>
          <w:sz w:val="20"/>
        </w:rPr>
        <w:t xml:space="preserve"> </w:t>
      </w:r>
      <w:r>
        <w:rPr>
          <w:rStyle w:val="CharStyle25"/>
          <w:color w:val="739BB0"/>
          <w:sz w:val="20"/>
        </w:rPr>
        <w:t xml:space="preserve">j'ai </w:t>
      </w:r>
      <w:r>
        <w:rPr>
          <w:rStyle w:val="CharStyle25"/>
          <w:color w:val="464648"/>
          <w:sz w:val="20"/>
        </w:rPr>
        <w:t xml:space="preserve"> </w:t>
      </w:r>
      <w:r>
        <w:rPr>
          <w:rStyle w:val="CharStyle25"/>
          <w:color w:val="303030"/>
          <w:sz w:val="20"/>
        </w:rPr>
        <w:t xml:space="preserve">fait des efforts considérables pour satisfaire aux conditions supplémentaires proposées et j'ai exposé les détails après chaque condition ci-dessous. </w:t>
      </w:r>
      <w:r>
        <w:rPr>
          <w:rStyle w:val="CharStyle25"/>
          <w:color w:val="464648"/>
          <w:sz w:val="20"/>
        </w:rPr>
        <w:t xml:space="preserve">Cela </w:t>
      </w:r>
      <w:r>
        <w:rPr>
          <w:rStyle w:val="CharStyle25"/>
          <w:color w:val="303030"/>
          <w:sz w:val="20"/>
        </w:rPr>
        <w:t xml:space="preserve">comprend le bénévolat pour </w:t>
      </w:r>
      <w:r>
        <w:rPr>
          <w:rStyle w:val="CharStyle25"/>
          <w:color w:val="739BB0"/>
          <w:sz w:val="20"/>
          <w:u w:val="single"/>
        </w:rPr>
        <w:t>servir</w:t>
      </w:r>
      <w:r>
        <w:rPr>
          <w:rStyle w:val="CharStyle25"/>
          <w:color w:val="739BB0"/>
          <w:sz w:val="20"/>
        </w:rPr>
        <w:t xml:space="preserve">eoU </w:t>
      </w:r>
      <w:r>
        <w:rPr>
          <w:rStyle w:val="CharStyle25"/>
          <w:color w:val="303030"/>
          <w:sz w:val="20"/>
        </w:rPr>
        <w:t xml:space="preserve">en tant qu'expert sur la mission conjointe OMS-Chine sur les origines animales de COVIO-19, </w:t>
      </w:r>
      <w:r>
        <w:rPr>
          <w:rStyle w:val="CharStyle25"/>
          <w:color w:val="464648"/>
          <w:sz w:val="20"/>
        </w:rPr>
        <w:t xml:space="preserve"> </w:t>
      </w:r>
      <w:r>
        <w:rPr>
          <w:rStyle w:val="CharStyle25"/>
          <w:color w:val="303030"/>
          <w:sz w:val="20"/>
        </w:rPr>
        <w:t xml:space="preserve">passer 1 mois sur le terrain en Chine (y compris 2 semaines enfermées en quarantaine), au grand risque personnel pour moi, pour notre organisation et pour ma famille. J'ai entrepris cette mission à un moment où j'ai eu des niveaux croissants</w:t>
      </w:r>
      <w:r>
        <w:rPr>
          <w:rStyle w:val="CharStyle25"/>
          <w:color w:val="467886"/>
          <w:sz w:val="20"/>
        </w:rPr>
        <w:t xml:space="preserve">d'attaques personnelles et de harcèlement, </w:t>
      </w:r>
      <w:r>
        <w:rPr>
          <w:rStyle w:val="CharStyle25"/>
          <w:color w:val="303030"/>
          <w:sz w:val="20"/>
        </w:rPr>
        <w:t xml:space="preserve">y compris </w:t>
      </w:r>
      <w:r>
        <w:rPr>
          <w:rStyle w:val="CharStyle25"/>
          <w:color w:val="739BB0"/>
          <w:sz w:val="20"/>
          <w:u w:val="single"/>
        </w:rPr>
        <w:t xml:space="preserve">des menaces </w:t>
      </w:r>
      <w:r>
        <w:rPr>
          <w:rStyle w:val="CharStyle25"/>
          <w:color w:val="303030"/>
          <w:sz w:val="20"/>
        </w:rPr>
        <w:t xml:space="preserve">de mort </w:t>
      </w:r>
      <w:r>
        <w:rPr>
          <w:rStyle w:val="CharStyle25"/>
          <w:color w:val="467886"/>
          <w:sz w:val="20"/>
          <w:u w:val="single"/>
        </w:rPr>
        <w:t xml:space="preserve">et </w:t>
      </w:r>
      <w:r>
        <w:rPr>
          <w:rStyle w:val="CharStyle25"/>
          <w:color w:val="739BB0"/>
          <w:sz w:val="20"/>
          <w:u w:val="single"/>
        </w:rPr>
        <w:t xml:space="preserve">une lettre</w:t>
      </w:r>
      <w:r>
        <w:rPr>
          <w:rStyle w:val="CharStyle25"/>
          <w:color w:val="739BB0"/>
          <w:sz w:val="20"/>
        </w:rPr>
        <w:t xml:space="preserve"> </w:t>
      </w:r>
      <w:r>
        <w:rPr>
          <w:rStyle w:val="CharStyle25"/>
          <w:color w:val="303030"/>
          <w:sz w:val="20"/>
        </w:rPr>
        <w:t xml:space="preserve">en poudre blanche </w:t>
      </w:r>
      <w:r>
        <w:rPr>
          <w:rStyle w:val="CharStyle25"/>
          <w:color w:val="739BB0"/>
          <w:sz w:val="20"/>
          <w:u w:val="single"/>
        </w:rPr>
        <w:t>envoyée</w:t>
      </w:r>
      <w:r>
        <w:rPr>
          <w:rStyle w:val="CharStyle25"/>
          <w:color w:val="739BB0"/>
          <w:sz w:val="20"/>
          <w:u w:val="single"/>
        </w:rPr>
        <w:t xml:space="preserve">à mon adresse personnelle </w:t>
      </w:r>
      <w:r>
        <w:rPr>
          <w:rStyle w:val="CharStyle25"/>
          <w:color w:val="303030"/>
          <w:sz w:val="20"/>
        </w:rPr>
        <w:t xml:space="preserve">- quelques semaines - après </w:t>
      </w:r>
      <w:r>
        <w:rPr>
          <w:rStyle w:val="CharStyle25"/>
          <w:color w:val="303030"/>
          <w:sz w:val="20"/>
        </w:rPr>
        <w:t xml:space="preserve">que les détails de la résiliation de notre subvention soient devenus publics. Ce harcèlement se poursuit à ce </w:t>
      </w:r>
      <w:r>
        <w:rPr>
          <w:rStyle w:val="CharStyle25"/>
          <w:color w:val="464648"/>
          <w:sz w:val="20"/>
        </w:rPr>
        <w:t xml:space="preserve">jour </w:t>
      </w:r>
      <w:r>
        <w:rPr>
          <w:rStyle w:val="CharStyle25"/>
          <w:color w:val="739BB0"/>
          <w:sz w:val="20"/>
          <w:u w:val="single"/>
        </w:rPr>
        <w:t xml:space="preserve">et est le résultat direct de théories du complot dangereuses amplifiées</w:t>
      </w:r>
      <w:r>
        <w:rPr>
          <w:rStyle w:val="CharStyle25"/>
          <w:color w:val="467886"/>
          <w:sz w:val="20"/>
          <w:u w:val="single"/>
        </w:rPr>
        <w:t xml:space="preserve">par inadvertance par </w:t>
      </w:r>
      <w:r>
        <w:rPr>
          <w:rStyle w:val="CharStyle25"/>
          <w:color w:val="739BB0"/>
          <w:sz w:val="20"/>
          <w:u w:val="single"/>
        </w:rPr>
        <w:t xml:space="preserve"> </w:t>
      </w:r>
      <w:r>
        <w:rPr>
          <w:rStyle w:val="CharStyle25"/>
          <w:color w:val="739BB0"/>
          <w:sz w:val="20"/>
          <w:u w:val="single"/>
        </w:rPr>
        <w:t xml:space="preserve">la résiliation de la subvention de NIH.</w:t>
      </w:r>
    </w:p>
    <w:p>
      <w:pPr>
        <w:pStyle w:val="Style18"/>
        <w:keepNext w:val="0"/>
        <w:keepLines w:val="0"/>
        <w:widowControl w:val="0"/>
        <w:shd w:val="clear" w:color="auto" w:fill="auto"/>
        <w:spacing w:before="0" w:after="0" w:line="240" w:lineRule="auto"/>
        <w:ind w:left="0" w:right="0" w:firstLine="900"/>
        <w:jc w:val="left"/>
        <w:rPr>
          <w:sz w:val="8"/>
        </w:rPr>
      </w:pPr>
      <w:r>
        <w:rPr>
          <w:rStyle w:val="CharStyle19"/>
          <w:rFonts w:ascii="Arial" w:hAnsi="Arial" w:cs="Arial" w:eastAsia="Arial"/>
          <w:b/>
          <w:color w:val="A0A1A1"/>
          <w:sz w:val="8"/>
        </w:rPr>
        <w:t xml:space="preserve">Alliance pour l'écosanté</w:t>
      </w:r>
    </w:p>
    <w:p>
      <w:pPr>
        <w:pStyle w:val="Style18"/>
        <w:keepNext w:val="0"/>
        <w:keepLines w:val="0"/>
        <w:widowControl w:val="0"/>
        <w:shd w:val="clear" w:color="auto" w:fill="auto"/>
        <w:spacing w:before="0" w:after="0" w:line="240" w:lineRule="auto"/>
        <w:ind w:left="0" w:right="0" w:firstLine="900"/>
        <w:jc w:val="left"/>
        <w:rPr>
          <w:sz w:val="8"/>
        </w:rPr>
      </w:pPr>
      <w:r>
        <w:rPr>
          <w:rStyle w:val="CharStyle19"/>
          <w:rFonts w:ascii="Arial" w:hAnsi="Arial" w:cs="Arial" w:eastAsia="Arial"/>
          <w:b/>
          <w:color w:val="A0A1A1"/>
          <w:sz w:val="8"/>
        </w:rPr>
        <w:t xml:space="preserve">20 $ Huitième Avenue, Suite 1200</w:t>
      </w:r>
    </w:p>
    <w:p>
      <w:pPr>
        <w:pStyle w:val="Style18"/>
        <w:keepNext w:val="0"/>
        <w:keepLines w:val="0"/>
        <w:widowControl w:val="0"/>
        <w:shd w:val="clear" w:color="auto" w:fill="auto"/>
        <w:spacing w:before="0" w:after="0" w:line="240" w:lineRule="auto"/>
        <w:ind w:left="0" w:right="0" w:firstLine="900"/>
        <w:jc w:val="left"/>
        <w:rPr>
          <w:sz w:val="8"/>
        </w:rPr>
      </w:pPr>
      <w:r>
        <w:rPr>
          <w:rStyle w:val="CharStyle19"/>
          <w:rFonts w:ascii="Arial" w:hAnsi="Arial" w:cs="Arial" w:eastAsia="Arial"/>
          <w:b/>
          <w:color w:val="A0A1A1"/>
          <w:sz w:val="8"/>
        </w:rPr>
        <w:t xml:space="preserve">New York, État de New York 10018</w:t>
      </w:r>
    </w:p>
    <w:p>
      <w:pPr>
        <w:pStyle w:val="Style18"/>
        <w:keepNext w:val="0"/>
        <w:keepLines w:val="0"/>
        <w:widowControl w:val="0"/>
        <w:shd w:val="clear" w:color="auto" w:fill="auto"/>
        <w:spacing w:before="0" w:after="0" w:line="240" w:lineRule="auto"/>
        <w:ind w:left="0" w:right="0" w:firstLine="900"/>
        <w:jc w:val="left"/>
        <w:rPr>
          <w:sz w:val="8"/>
        </w:rPr>
      </w:pPr>
      <w:r>
        <w:rPr>
          <w:rStyle w:val="CharStyle19"/>
          <w:rFonts w:ascii="Arial" w:hAnsi="Arial" w:cs="Arial" w:eastAsia="Arial"/>
          <w:b/>
          <w:color w:val="A0A1A1"/>
          <w:sz w:val="8"/>
        </w:rPr>
        <w:t>212.3B0.44S0</w:t>
      </w:r>
    </w:p>
    <w:p>
      <w:pPr>
        <w:pStyle w:val="Style18"/>
        <w:keepNext w:val="0"/>
        <w:keepLines w:val="0"/>
        <w:widowControl w:val="0"/>
        <w:shd w:val="clear" w:color="auto" w:fill="auto"/>
        <w:spacing w:before="0" w:after="120" w:line="240" w:lineRule="auto"/>
        <w:ind w:left="0" w:right="0" w:firstLine="900"/>
        <w:jc w:val="left"/>
        <w:rPr>
          <w:sz w:val="8"/>
        </w:rPr>
        <w:sectPr>
          <w:footerReference w:type="default" r:id="rId108"/>
          <w:footnotePr>
            <w:pos w:val="pageBottom"/>
            <w:numFmt w:val="decimal"/>
            <w:numStart w:val="1455"/>
            <w:numRestart w:val="continuous"/>
            <w15:footnoteColumns w:val="1"/>
          </w:footnotePr>
          <w:pgSz w:w="12485" w:h="16357"/>
          <w:pgMar w:top="1562" w:right="1418" w:bottom="1634" w:left="1423" w:header="1134" w:footer="3" w:gutter="0"/>
          <w:cols w:space="720"/>
          <w:noEndnote/>
          <w:rtlGutter w:val="0"/>
          <w:docGrid w:linePitch="360"/>
        </w:sectPr>
      </w:pPr>
      <w:r>
        <w:rPr>
          <w:rStyle w:val="CharStyle19"/>
          <w:rFonts w:ascii="Arial" w:hAnsi="Arial" w:cs="Arial" w:eastAsia="Arial"/>
          <w:b/>
          <w:color w:val="A0A1A1"/>
          <w:sz w:val="8"/>
        </w:rPr>
        <w:t>EcQHealthAlilance.afg</w:t>
      </w:r>
    </w:p>
    <w:p>
      <w:pPr>
        <w:widowControl w:val="0"/>
        <w:spacing w:line="1" w:lineRule="exact"/>
      </w:pPr>
      <w:r>
        <mc:AlternateContent>
          <mc:Choice Requires="wps">
            <w:drawing>
              <wp:anchor distT="190500" distB="2589530" distL="190500" distR="617220" simplePos="0" relativeHeight="125829467" behindDoc="0" locked="0" layoutInCell="1" allowOverlap="1">
                <wp:simplePos x="0" y="0"/>
                <wp:positionH relativeFrom="page">
                  <wp:posOffset>5093335</wp:posOffset>
                </wp:positionH>
                <wp:positionV relativeFrom="paragraph">
                  <wp:posOffset>1130935</wp:posOffset>
                </wp:positionV>
                <wp:extent cx="1271270" cy="149225"/>
                <wp:wrapSquare wrapText="left"/>
                <wp:docPr id="197" name="Forme 197"/>
                <a:graphic xmlns:a="http://schemas.openxmlformats.org/drawingml/2006/main">
                  <a:graphicData uri="http://schemas.microsoft.com/office/word/2010/wordprocessingShape">
                    <wps:wsp>
                      <wps:cNvSpPr txBox="1"/>
                      <wps:spPr>
                        <a:xfrm>
                          <a:ext cx="1271270" cy="149225"/>
                        </a:xfrm>
                        <a:prstGeom prst="rect"/>
                        <a:noFill/>
                      </wps:spPr>
                      <wps:txbx>
                        <w:txbxContent>
                          <w:p>
                            <w:pPr>
                              <w:pStyle w:val="Style18"/>
                              <w:keepNext w:val="0"/>
                              <w:keepLines w:val="0"/>
                              <w:widowControl w:val="0"/>
                              <w:shd w:val="clear" w:color="auto" w:fill="auto"/>
                              <w:spacing w:before="0" w:after="0" w:line="240" w:lineRule="auto"/>
                              <w:ind w:left="0" w:right="0" w:firstLine="0"/>
                              <w:jc w:val="left"/>
                              <w:rPr>
                                <w:sz w:val="8"/>
                              </w:rPr>
                            </w:pPr>
                            <w:r>
                              <w:rPr>
                                <w:rStyle w:val="CharStyle19"/>
                                <w:rFonts w:ascii="Arial" w:hAnsi="Arial" w:cs="Arial" w:eastAsia="Arial"/>
                                <w:b/>
                                <w:sz w:val="9"/>
                              </w:rPr>
                              <w:t xml:space="preserve">Commenté [MD([1J: </w:t>
                            </w:r>
                            <w:r>
                              <w:rPr>
                                <w:rStyle w:val="CharStyle19"/>
                                <w:rFonts w:ascii="Arial" w:hAnsi="Arial" w:cs="Arial" w:eastAsia="Arial"/>
                                <w:b/>
                                <w:sz w:val="8"/>
                              </w:rPr>
                              <w:t xml:space="preserve">Peter, mon cher Thohnnot</w:t>
                            </w:r>
                          </w:p>
                        </w:txbxContent>
                      </wps:txbx>
                      <wps:bodyPr wrap="none" lIns="0" tIns="0" rIns="0" bIns="0">
                        <a:noAutoFit/>
                      </wps:bodyPr>
                    </wps:wsp>
                  </a:graphicData>
                </a:graphic>
              </wp:anchor>
            </w:drawing>
          </mc:Choice>
        </mc:AlternateContent>
      </w:r>
      <w:r>
        <mc:AlternateContent>
          <mc:Choice Requires="wps">
            <w:drawing>
              <wp:anchor distT="2141220" distB="190500" distL="224155" distR="190500" simplePos="0" relativeHeight="125829469" behindDoc="0" locked="0" layoutInCell="1" allowOverlap="1">
                <wp:simplePos x="0" y="0"/>
                <wp:positionH relativeFrom="page">
                  <wp:posOffset>5126990</wp:posOffset>
                </wp:positionH>
                <wp:positionV relativeFrom="paragraph">
                  <wp:posOffset>3081655</wp:posOffset>
                </wp:positionV>
                <wp:extent cx="1664335" cy="597535"/>
                <wp:wrapSquare wrapText="left"/>
                <wp:docPr id="199" name="Forme 199"/>
                <a:graphic xmlns:a="http://schemas.openxmlformats.org/drawingml/2006/main">
                  <a:graphicData uri="http://schemas.microsoft.com/office/word/2010/wordprocessingShape">
                    <wps:wsp>
                      <wps:cNvSpPr txBox="1"/>
                      <wps:spPr>
                        <a:xfrm>
                          <a:ext cx="1664335" cy="597535"/>
                        </a:xfrm>
                        <a:prstGeom prst="rect"/>
                        <a:noFill/>
                      </wps:spPr>
                      <wps:txbx>
                        <w:txbxContent>
                          <w:p>
                            <w:pPr>
                              <w:pStyle w:val="Style18"/>
                              <w:keepNext w:val="0"/>
                              <w:keepLines w:val="0"/>
                              <w:widowControl w:val="0"/>
                              <w:shd w:val="clear" w:color="auto" w:fill="auto"/>
                              <w:spacing w:before="0" w:after="0" w:line="288" w:lineRule="auto"/>
                              <w:ind w:left="0" w:right="0" w:firstLine="0"/>
                              <w:jc w:val="both"/>
                              <w:rPr>
                                <w:sz w:val="8"/>
                              </w:rPr>
                            </w:pPr>
                            <w:r>
                              <w:rPr>
                                <w:rStyle w:val="CharStyle19"/>
                                <w:rFonts w:ascii="Arial" w:hAnsi="Arial" w:cs="Arial" w:eastAsia="Arial"/>
                                <w:b/>
                                <w:sz w:val="9"/>
                              </w:rPr>
                              <w:t xml:space="preserve">Commenté [MD([2J: </w:t>
                            </w:r>
                            <w:r>
                              <w:rPr>
                                <w:rStyle w:val="CharStyle19"/>
                                <w:rFonts w:ascii="Arial" w:hAnsi="Arial" w:cs="Arial" w:eastAsia="Arial"/>
                                <w:b/>
                                <w:sz w:val="8"/>
                              </w:rPr>
                              <w:t xml:space="preserve">Peter. m ce paragraphe, vous pourriez dire que le laboratoire a été construit sous des normes internationales d'ingénierie de la sécurité, adhère aux normes internationales de pratique de sécurité indiquées dans le BMBL et le personnel principal du WIV a été «.rained In safety in the United States by a known authority running the 8U &lt; lab at the U rivcrsity of Texas Medical Branch in Galveston. Vous m&lt;ht aussi dire que malgré la revendication d'un individu, aucun problème de sécurité sont connus pour avoir haricots allégués par d'autres indixSng exportations de sécurité</w:t>
                            </w:r>
                          </w:p>
                        </w:txbxContent>
                      </wps:txbx>
                      <wps:bodyPr lIns="0" tIns="0" rIns="0" bIns="0">
                        <a:noAutoFit/>
                      </wps:bodyPr>
                    </wps:wsp>
                  </a:graphicData>
                </a:graphic>
              </wp:anchor>
            </w:drawing>
          </mc:Choice>
        </mc:AlternateContent>
      </w:r>
    </w:p>
    <w:p>
      <w:pPr>
        <w:pStyle w:val="Style24"/>
        <w:keepNext w:val="0"/>
        <w:keepLines w:val="0"/>
        <w:widowControl w:val="0"/>
        <w:shd w:val="clear" w:color="auto" w:fill="auto"/>
        <w:spacing w:before="0" w:after="300" w:line="175" w:lineRule="auto"/>
        <w:ind w:left="940" w:right="0" w:firstLine="20"/>
        <w:jc w:val="left"/>
        <w:rPr>
          <w:sz w:val="16"/>
        </w:rPr>
      </w:pPr>
      <w:r>
        <w:rPr>
          <w:rStyle w:val="CharStyle25"/>
          <w:sz w:val="20"/>
        </w:rPr>
        <w:t xml:space="preserve">Ci-dessous, j'ai </w:t>
      </w:r>
      <w:r>
        <w:rPr>
          <w:rStyle w:val="CharStyle25"/>
          <w:color w:val="739BB0"/>
          <w:sz w:val="20"/>
        </w:rPr>
        <w:t xml:space="preserve"> </w:t>
      </w:r>
      <w:r>
        <w:rPr>
          <w:rStyle w:val="CharStyle25"/>
          <w:sz w:val="20"/>
        </w:rPr>
        <w:t xml:space="preserve">détaillé notre réponse à chacune des conditions posées sur notre subvention suspendue, dans un effort pour fournir autant d'informations que possible et c expliquer toutes les limitations sur ce que nous pouvons faire </w:t>
      </w:r>
      <w:r>
        <w:rPr>
          <w:rStyle w:val="CharStyle25"/>
          <w:color w:val="739BB0"/>
          <w:sz w:val="20"/>
        </w:rPr>
        <w:t xml:space="preserve">pour répondre à </w:t>
      </w:r>
      <w:r>
        <w:rPr>
          <w:rStyle w:val="CharStyle25"/>
          <w:sz w:val="20"/>
        </w:rPr>
        <w:t xml:space="preserve">ce moment. J'attends </w:t>
      </w:r>
      <w:r>
        <w:rPr>
          <w:rStyle w:val="CharStyle25"/>
          <w:color w:val="739BB0"/>
          <w:sz w:val="20"/>
        </w:rPr>
        <w:t xml:space="preserve"> </w:t>
      </w:r>
      <w:r>
        <w:rPr>
          <w:rStyle w:val="CharStyle25"/>
          <w:sz w:val="20"/>
          <w:u w:val="single"/>
        </w:rPr>
        <w:t xml:space="preserve">avec impatience votre réponse et je suis certain que nous pourrons discuter de ces points sans conseil juridique et alors que les scientifiques se sont concentrés</w:t>
      </w:r>
      <w:r>
        <w:rPr>
          <w:rStyle w:val="CharStyle25"/>
          <w:color w:val="739BB0"/>
          <w:sz w:val="20"/>
          <w:u w:val="single"/>
        </w:rPr>
        <w:t xml:space="preserve">sur notre recherche importante</w:t>
      </w:r>
      <w:r>
        <w:rPr>
          <w:rStyle w:val="CharStyle25"/>
          <w:rFonts w:ascii="Arial" w:hAnsi="Arial" w:cs="Arial" w:eastAsia="Arial"/>
          <w:strike/>
          <w:color w:val="739BB0"/>
          <w:sz w:val="16"/>
        </w:rPr>
        <w:t xml:space="preserve">et digne </w:t>
      </w:r>
      <w:r>
        <w:rPr>
          <w:rStyle w:val="CharStyle25"/>
          <w:color w:val="739BB0"/>
          <w:sz w:val="20"/>
          <w:u w:val="single"/>
        </w:rPr>
        <w:t xml:space="preserve"> </w:t>
      </w:r>
      <w:r>
        <w:rPr>
          <w:rStyle w:val="CharStyle25"/>
          <w:rFonts w:ascii="Arial" w:hAnsi="Arial" w:cs="Arial" w:eastAsia="Arial"/>
          <w:strike/>
          <w:color w:val="739BB0"/>
          <w:sz w:val="16"/>
        </w:rPr>
        <w:t xml:space="preserve">de ce nom,</w:t>
      </w:r>
      <w:r>
        <w:rPr>
          <w:rStyle w:val="CharStyle25"/>
          <w:color w:val="739BB0"/>
          <w:sz w:val="20"/>
          <w:u w:val="single"/>
        </w:rPr>
        <w:t xml:space="preserve"> </w:t>
      </w:r>
      <w:r>
        <w:rPr>
          <w:rStyle w:val="CharStyle25"/>
          <w:color w:val="739BB0"/>
          <w:sz w:val="20"/>
          <w:u w:val="single"/>
        </w:rPr>
        <w:t>qui</w:t>
      </w:r>
      <w:r>
        <w:rPr>
          <w:rStyle w:val="CharStyle25"/>
          <w:color w:val="739BB0"/>
          <w:sz w:val="20"/>
        </w:rPr>
        <w:t xml:space="preserve">s'est concentrée </w:t>
      </w:r>
      <w:r>
        <w:rPr>
          <w:rStyle w:val="CharStyle25"/>
          <w:sz w:val="20"/>
        </w:rPr>
        <w:t>sur</w:t>
      </w:r>
      <w:r>
        <w:rPr>
          <w:rStyle w:val="CharStyle25"/>
          <w:rFonts w:ascii="Arial" w:hAnsi="Arial" w:cs="Arial" w:eastAsia="Arial"/>
          <w:strike/>
          <w:color w:val="739BB0"/>
          <w:sz w:val="16"/>
        </w:rPr>
        <w:t xml:space="preserve">la recherche pour nous protéger tous contre d'autres</w:t>
      </w:r>
      <w:r>
        <w:rPr>
          <w:rStyle w:val="CharStyle25"/>
          <w:rFonts w:ascii="Arial" w:hAnsi="Arial" w:cs="Arial" w:eastAsia="Arial"/>
          <w:strike/>
          <w:color w:val="739BB0"/>
          <w:sz w:val="16"/>
        </w:rPr>
        <w:t xml:space="preserve">coronavirus </w:t>
      </w:r>
      <w:r>
        <w:rPr>
          <w:rStyle w:val="CharStyle25"/>
          <w:rFonts w:ascii="Arial" w:hAnsi="Arial" w:cs="Arial" w:eastAsia="Arial"/>
          <w:strike/>
          <w:color w:val="739BB0"/>
          <w:sz w:val="16"/>
        </w:rPr>
        <w:t>spi</w:t>
      </w:r>
      <w:r>
        <w:rPr>
          <w:rStyle w:val="CharStyle25"/>
          <w:color w:val="739BB0"/>
          <w:sz w:val="20"/>
        </w:rPr>
        <w:t>U</w:t>
      </w:r>
      <w:r>
        <w:rPr>
          <w:rStyle w:val="CharStyle25"/>
          <w:rFonts w:ascii="Arial" w:hAnsi="Arial" w:cs="Arial" w:eastAsia="Arial"/>
          <w:strike/>
          <w:color w:val="739BB0"/>
          <w:sz w:val="16"/>
        </w:rPr>
        <w:t>ov</w:t>
      </w:r>
      <w:r>
        <w:rPr>
          <w:rStyle w:val="CharStyle25"/>
          <w:color w:val="739BB0"/>
          <w:sz w:val="20"/>
        </w:rPr>
        <w:t>e</w:t>
      </w:r>
      <w:r>
        <w:rPr>
          <w:rStyle w:val="CharStyle25"/>
          <w:rFonts w:ascii="Arial" w:hAnsi="Arial" w:cs="Arial" w:eastAsia="Arial"/>
          <w:strike/>
          <w:color w:val="739BB0"/>
          <w:sz w:val="16"/>
        </w:rPr>
        <w:t>r</w:t>
      </w:r>
      <w:r>
        <w:rPr>
          <w:rStyle w:val="CharStyle25"/>
          <w:color w:val="739BB0"/>
          <w:sz w:val="20"/>
        </w:rPr>
        <w:t xml:space="preserve">- s</w:t>
      </w:r>
      <w:r>
        <w:rPr>
          <w:rStyle w:val="CharStyle25"/>
          <w:rFonts w:ascii="Arial" w:hAnsi="Arial" w:cs="Arial" w:eastAsia="Arial"/>
          <w:strike/>
          <w:color w:val="739BB0"/>
          <w:sz w:val="16"/>
        </w:rPr>
        <w:t>om</w:t>
      </w:r>
      <w:r>
        <w:rPr>
          <w:rStyle w:val="CharStyle25"/>
          <w:color w:val="739BB0"/>
          <w:sz w:val="20"/>
        </w:rPr>
        <w:t>e</w:t>
      </w:r>
      <w:r>
        <w:rPr>
          <w:rStyle w:val="CharStyle25"/>
          <w:rFonts w:ascii="Arial" w:hAnsi="Arial" w:cs="Arial" w:eastAsia="Arial"/>
          <w:strike/>
          <w:color w:val="739BB0"/>
          <w:sz w:val="16"/>
        </w:rPr>
        <w:t>th</w:t>
      </w:r>
      <w:r>
        <w:rPr>
          <w:rStyle w:val="CharStyle25"/>
          <w:color w:val="739BB0"/>
          <w:sz w:val="20"/>
        </w:rPr>
        <w:t>i</w:t>
      </w:r>
      <w:r>
        <w:rPr>
          <w:rStyle w:val="CharStyle25"/>
          <w:rFonts w:ascii="Arial" w:hAnsi="Arial" w:cs="Arial" w:eastAsia="Arial"/>
          <w:strike/>
          <w:color w:val="739BB0"/>
          <w:sz w:val="16"/>
        </w:rPr>
        <w:t xml:space="preserve">ng que</w:t>
      </w:r>
      <w:r>
        <w:rPr>
          <w:rStyle w:val="CharStyle25"/>
          <w:rFonts w:ascii="Arial" w:hAnsi="Arial" w:cs="Arial" w:eastAsia="Arial"/>
          <w:smallCaps/>
          <w:color w:val="739BB0"/>
          <w:sz w:val="11"/>
        </w:rPr>
        <w:t xml:space="preserve"> h </w:t>
      </w:r>
      <w:r>
        <w:rPr>
          <w:rStyle w:val="CharStyle25"/>
          <w:rFonts w:ascii="Arial" w:hAnsi="Arial" w:cs="Arial" w:eastAsia="Arial"/>
          <w:strike/>
          <w:color w:val="739BB0"/>
          <w:sz w:val="16"/>
        </w:rPr>
        <w:t>c</w:t>
      </w:r>
      <w:r>
        <w:rPr>
          <w:rStyle w:val="CharStyle25"/>
          <w:color w:val="739BB0"/>
          <w:sz w:val="20"/>
        </w:rPr>
        <w:t>e</w:t>
      </w:r>
      <w:r>
        <w:rPr>
          <w:rStyle w:val="CharStyle25"/>
          <w:rFonts w:ascii="Arial" w:hAnsi="Arial" w:cs="Arial" w:eastAsia="Arial"/>
          <w:strike/>
          <w:color w:val="739BB0"/>
          <w:sz w:val="16"/>
        </w:rPr>
        <w:t>ntr</w:t>
      </w:r>
      <w:r>
        <w:rPr>
          <w:rStyle w:val="CharStyle25"/>
          <w:color w:val="739BB0"/>
          <w:sz w:val="20"/>
        </w:rPr>
        <w:t xml:space="preserve">al </w:t>
      </w:r>
      <w:r>
        <w:rPr>
          <w:rStyle w:val="CharStyle25"/>
          <w:rFonts w:ascii="Arial" w:hAnsi="Arial" w:cs="Arial" w:eastAsia="Arial"/>
          <w:strike/>
          <w:color w:val="739BB0"/>
          <w:sz w:val="16"/>
        </w:rPr>
        <w:t xml:space="preserve">à l'objectif de notre subvention R01.</w:t>
      </w:r>
    </w:p>
    <w:p>
      <w:pPr>
        <w:pStyle w:val="Style24"/>
        <w:keepNext w:val="0"/>
        <w:keepLines w:val="0"/>
        <w:widowControl w:val="0"/>
        <w:numPr>
          <w:ilvl w:val="0"/>
          <w:numId w:val="17"/>
        </w:numPr>
        <w:shd w:val="clear" w:color="auto" w:fill="auto"/>
        <w:tabs>
          <w:tab w:pos="1166" w:val="left"/>
        </w:tabs>
        <w:spacing w:before="0" w:after="140" w:line="170" w:lineRule="auto"/>
        <w:ind w:left="940" w:right="0" w:firstLine="20"/>
        <w:jc w:val="left"/>
        <w:rPr>
          <w:sz w:val="20"/>
        </w:rPr>
      </w:pPr>
      <w:r>
        <w:rPr>
          <w:rStyle w:val="CharStyle25"/>
          <w:sz w:val="20"/>
        </w:rPr>
        <w:t xml:space="preserve">Fournir une aliquote du virus SARS-CoV-2 réel que WIV a utilisé pour déterminer la séquence virale. Les scientifiques d'EcoHealth Alliance ne faisaient pas partie des travaux menés par WIV pour déterminer la séquence virale du SARS-CoV-2. Étant donné que WIV est une entité gouvernementale et que nous n'avons aucune raison logique de rechercher une aliquote de SARS-CoV-2 dans le cadre des objectifs de notre collaboration proposée, nous pensons que cette condition est effectivement impossible à remplir, </w:t>
      </w:r>
      <w:r>
        <w:rPr>
          <w:rStyle w:val="CharStyle25"/>
          <w:color w:val="739BB0"/>
          <w:sz w:val="20"/>
          <w:u w:val="single"/>
        </w:rPr>
        <w:t xml:space="preserve">dans tous les casQ</w:t>
      </w:r>
      <w:r>
        <w:rPr>
          <w:rStyle w:val="CharStyle25"/>
          <w:color w:val="739BB0"/>
          <w:sz w:val="20"/>
        </w:rPr>
        <w:t>A</w:t>
      </w:r>
      <w:r>
        <w:rPr>
          <w:rStyle w:val="CharStyle25"/>
          <w:rFonts w:ascii="Arial" w:hAnsi="Arial" w:cs="Arial" w:eastAsia="Arial"/>
          <w:strike/>
          <w:color w:val="739BB0"/>
          <w:sz w:val="16"/>
        </w:rPr>
        <w:t>ddd</w:t>
      </w:r>
      <w:r>
        <w:rPr>
          <w:rStyle w:val="CharStyle25"/>
          <w:color w:val="739BB0"/>
          <w:sz w:val="20"/>
        </w:rPr>
        <w:t>H</w:t>
      </w:r>
      <w:r>
        <w:rPr>
          <w:rStyle w:val="CharStyle25"/>
          <w:rFonts w:ascii="Arial" w:hAnsi="Arial" w:cs="Arial" w:eastAsia="Arial"/>
          <w:strike/>
          <w:color w:val="739BB0"/>
          <w:sz w:val="16"/>
        </w:rPr>
        <w:t>w</w:t>
      </w:r>
      <w:r>
        <w:rPr>
          <w:rStyle w:val="CharStyle25"/>
          <w:color w:val="739BB0"/>
          <w:sz w:val="20"/>
        </w:rPr>
        <w:t xml:space="preserve">atir, </w:t>
      </w:r>
      <w:r>
        <w:rPr>
          <w:rStyle w:val="CharStyle25"/>
          <w:color w:val="739BB0"/>
          <w:sz w:val="20"/>
          <w:u w:val="single"/>
        </w:rPr>
        <w:t xml:space="preserve">le génome complet de cette séquence virale a été téléchargé dans</w:t>
      </w:r>
      <w:r>
        <w:rPr>
          <w:rStyle w:val="CharStyle25"/>
          <w:sz w:val="20"/>
        </w:rPr>
        <w:t xml:space="preserve">une base de données librement accessible le 6 janvier</w:t>
      </w:r>
      <w:r>
        <w:rPr>
          <w:rStyle w:val="CharStyle25"/>
          <w:sz w:val="20"/>
          <w:vertAlign w:val="superscript"/>
        </w:rPr>
        <w:t>2020</w:t>
      </w:r>
      <w:r>
        <w:rPr>
          <w:rStyle w:val="CharStyle25"/>
          <w:sz w:val="20"/>
        </w:rPr>
        <w:t xml:space="preserve"> et a été largement utilisé par des scientifiques aux États-Unis (y compris ceux financés par NIH) et dans le monde entier dans leur travail, sapant toute demande raisonnable d'un organisme à but non lucratif américain à un laboratoire du gouvernement chinois pour un échantillon actif d'un virus humain pathogène.</w:t>
      </w:r>
    </w:p>
    <w:p>
      <w:pPr>
        <w:pStyle w:val="Style24"/>
        <w:keepNext w:val="0"/>
        <w:keepLines w:val="0"/>
        <w:widowControl w:val="0"/>
        <w:numPr>
          <w:ilvl w:val="0"/>
          <w:numId w:val="17"/>
        </w:numPr>
        <w:shd w:val="clear" w:color="auto" w:fill="auto"/>
        <w:tabs>
          <w:tab w:pos="1166" w:val="left"/>
        </w:tabs>
        <w:spacing w:before="0" w:after="0" w:line="170" w:lineRule="auto"/>
        <w:ind w:left="940" w:right="0" w:firstLine="20"/>
        <w:jc w:val="left"/>
        <w:rPr>
          <w:sz w:val="20"/>
        </w:rPr>
      </w:pPr>
      <w:r>
        <w:rPr>
          <w:rStyle w:val="CharStyle25"/>
          <w:sz w:val="20"/>
        </w:rPr>
        <w:t xml:space="preserve">Expliquez la disparition apparente de Huang Yanling, un scientifique / technicien qui a travaillé dans le laboratoire du WIV mais dont la présence sur le Web du laboratoire a été supprimée.</w:t>
      </w:r>
    </w:p>
    <w:p>
      <w:pPr>
        <w:pStyle w:val="Style24"/>
        <w:keepNext w:val="0"/>
        <w:keepLines w:val="0"/>
        <w:widowControl w:val="0"/>
        <w:shd w:val="clear" w:color="auto" w:fill="auto"/>
        <w:spacing w:before="0" w:after="80" w:line="170" w:lineRule="auto"/>
        <w:ind w:left="940" w:right="0" w:firstLine="20"/>
        <w:jc w:val="left"/>
        <w:rPr>
          <w:sz w:val="20"/>
        </w:rPr>
      </w:pPr>
      <w:r>
        <w:rPr>
          <w:rStyle w:val="CharStyle25"/>
          <w:sz w:val="20"/>
        </w:rPr>
        <w:t xml:space="preserve">Au cours de la mission de l'OMS à Chin, j'ai posé des questions à ce sujet directement au personnel du WIV, y compris le directeur de l'institut, le directeur du laboratoire P4, le Dr Shi</w:t>
      </w:r>
      <w:r>
        <w:rPr>
          <w:rStyle w:val="CharStyle25"/>
          <w:sz w:val="20"/>
          <w:vertAlign w:val="subscript"/>
        </w:rPr>
        <w:t>v</w:t>
      </w:r>
      <w:r>
        <w:rPr>
          <w:rStyle w:val="CharStyle25"/>
          <w:sz w:val="20"/>
        </w:rPr>
        <w:t xml:space="preserve"> et bien d'autres. La réponse donnée </w:t>
      </w:r>
      <w:r>
        <w:rPr>
          <w:rStyle w:val="CharStyle25"/>
          <w:color w:val="739BB0"/>
          <w:sz w:val="20"/>
          <w:u w:val="single"/>
        </w:rPr>
        <w:t>par</w:t>
      </w:r>
      <w:r>
        <w:rPr>
          <w:rStyle w:val="CharStyle25"/>
          <w:color w:val="739BB0"/>
          <w:sz w:val="20"/>
        </w:rPr>
        <w:t xml:space="preserve"> </w:t>
      </w:r>
      <w:r>
        <w:rPr>
          <w:rStyle w:val="CharStyle25"/>
          <w:sz w:val="20"/>
          <w:u w:val="single"/>
        </w:rPr>
        <w:t>wa</w:t>
      </w:r>
      <w:r>
        <w:rPr>
          <w:rStyle w:val="CharStyle25"/>
          <w:sz w:val="20"/>
        </w:rPr>
        <w:t xml:space="preserve">est la suivante: "Certains rapports ont identifié un travailleur de laboratoire formé comme "disparu". Cette personne, selon le personnel du WIV, était un ancien diplômé en 2015 et travaille maintenant dans une ville d'une autre province. Ils avaient été contactés et testés, et s'étaient assurés d'être en bonne santé. Ils ne sont pas disposés à être interviewés pour la mission de l'OMS ». Ces informations ont été résumées dans le rapport de l'étude conjointe OMS-Chine, publié le 30/03/20.</w:t>
      </w:r>
    </w:p>
    <w:p>
      <w:pPr>
        <w:pStyle w:val="Style24"/>
        <w:keepNext w:val="0"/>
        <w:keepLines w:val="0"/>
        <w:widowControl w:val="0"/>
        <w:numPr>
          <w:ilvl w:val="0"/>
          <w:numId w:val="17"/>
        </w:numPr>
        <w:shd w:val="clear" w:color="auto" w:fill="auto"/>
        <w:tabs>
          <w:tab w:pos="1166" w:val="left"/>
        </w:tabs>
        <w:spacing w:before="0" w:after="0" w:line="170" w:lineRule="auto"/>
        <w:ind w:left="940" w:right="0" w:firstLine="20"/>
        <w:jc w:val="left"/>
        <w:rPr>
          <w:sz w:val="20"/>
        </w:rPr>
      </w:pPr>
      <w:r>
        <w:rPr>
          <w:rStyle w:val="CharStyle25"/>
          <w:sz w:val="20"/>
        </w:rPr>
        <w:t xml:space="preserve">Fournir au NIH les réponses de WIV aux câbles du Département d'État des États-Unis de 2018 concernant les problèmes de sécurité.</w:t>
      </w:r>
    </w:p>
    <w:p>
      <w:pPr>
        <w:pStyle w:val="Style24"/>
        <w:keepNext w:val="0"/>
        <w:keepLines w:val="0"/>
        <w:widowControl w:val="0"/>
        <w:shd w:val="clear" w:color="auto" w:fill="auto"/>
        <w:spacing w:before="0" w:after="140" w:line="170" w:lineRule="auto"/>
        <w:ind w:left="940" w:right="0" w:firstLine="20"/>
        <w:jc w:val="left"/>
        <w:rPr>
          <w:sz w:val="20"/>
        </w:rPr>
      </w:pPr>
      <w:r>
        <w:rPr>
          <w:rStyle w:val="CharStyle25"/>
          <w:sz w:val="20"/>
        </w:rPr>
        <w:t xml:space="preserve">Ces câbles ont été divulgués sélectivement par un journaliste du Washington Post, qui a affirmé qu'ils indiquaient des problèmes de sécurité, en particulier qu'un scientifique du WIV avait parlé à une délégation de l'ambassade des États-Unis à Pékin et avait déclaré que le laboratoire ne pouvait fonctionner en toute sécurité que si le nombre de techniciens de laboratoire était augmenté. Dans le cadre du travail d’EcoHealth Alliance en Chine au cours des 15 dernières années, y compris celui financé par le NIAID, je me suis rendu régulièrement à l’ambassade des États-Unis à Pékin et j’ai participé à des discussions avec ces membres du personnel de l’ambassade afin de mettre en place une visite sur le terrain au WIV afin de susciter la bonne volonté entre les États-Unis et la Chine à un moment où le président Trump planifiait une visite d’État. Le trajet décrit dans ces câbles en était le résultat direct. Avant cet article de journal, des personnes au courant du contenu du câble m'avaient dit que les articles étaient positifs et appuyaient le travail que nous faisions sous le financement du NIAID, et que le voyage était un succès.</w:t>
      </w:r>
    </w:p>
    <w:p>
      <w:pPr>
        <w:pStyle w:val="Style24"/>
        <w:keepNext w:val="0"/>
        <w:keepLines w:val="0"/>
        <w:widowControl w:val="0"/>
        <w:shd w:val="clear" w:color="auto" w:fill="auto"/>
        <w:spacing w:before="0" w:after="300" w:line="170" w:lineRule="auto"/>
        <w:ind w:left="940" w:right="0" w:firstLine="20"/>
        <w:jc w:val="left"/>
        <w:rPr>
          <w:sz w:val="20"/>
        </w:rPr>
      </w:pPr>
      <w:r>
        <w:rPr>
          <w:rStyle w:val="CharStyle25"/>
          <w:sz w:val="20"/>
        </w:rPr>
        <w:t xml:space="preserve">Quelques mois plus tard, le texte intégral de ces câbles a été publié avec des occultations mineures. Il ressort clairement de la lecture de tous les détails que 1) la demande d'un soutien technique de laboratoire supplémentaire n'était qu'une simple demande</w:t>
      </w:r>
    </w:p>
    <w:p>
      <w:pPr>
        <w:pStyle w:val="Style18"/>
        <w:keepNext w:val="0"/>
        <w:keepLines w:val="0"/>
        <w:widowControl w:val="0"/>
        <w:shd w:val="clear" w:color="auto" w:fill="auto"/>
        <w:spacing w:before="0" w:after="0" w:line="298" w:lineRule="auto"/>
        <w:ind w:left="840" w:right="0" w:firstLine="0"/>
        <w:jc w:val="left"/>
        <w:rPr>
          <w:sz w:val="8"/>
        </w:rPr>
      </w:pPr>
      <w:r>
        <w:rPr>
          <w:rStyle w:val="CharStyle19"/>
          <w:rFonts w:ascii="Arial" w:hAnsi="Arial" w:cs="Arial" w:eastAsia="Arial"/>
          <w:b/>
          <w:color w:val="A0A1A1"/>
          <w:sz w:val="8"/>
        </w:rPr>
        <w:t xml:space="preserve">EcoHealth Alliance 510 Eighth Avenue, Suite 1200 NrrrYorl.K""'10018 na 380 4460</w:t>
      </w:r>
    </w:p>
    <w:p>
      <w:pPr>
        <w:pStyle w:val="Style18"/>
        <w:keepNext w:val="0"/>
        <w:keepLines w:val="0"/>
        <w:widowControl w:val="0"/>
        <w:shd w:val="clear" w:color="auto" w:fill="auto"/>
        <w:spacing w:before="0" w:after="0" w:line="298" w:lineRule="auto"/>
        <w:ind w:left="840" w:right="0" w:firstLine="0"/>
        <w:jc w:val="left"/>
        <w:rPr>
          <w:sz w:val="8"/>
        </w:rPr>
        <w:sectPr>
          <w:footerReference w:type="default" r:id="rId109"/>
          <w:footnotePr>
            <w:pos w:val="pageBottom"/>
            <w:numFmt w:val="decimal"/>
            <w:numStart w:val="1455"/>
            <w:numRestart w:val="continuous"/>
            <w15:footnoteColumns w:val="1"/>
          </w:footnotePr>
          <w:pgSz w:w="12240" w:h="15840"/>
          <w:pgMar w:top="4210" w:right="1301" w:bottom="3588" w:left="1296" w:header="3782" w:footer="3" w:gutter="0"/>
          <w:cols w:space="720"/>
          <w:noEndnote/>
          <w:rtlGutter w:val="0"/>
          <w:docGrid w:linePitch="360"/>
        </w:sectPr>
      </w:pPr>
      <w:r>
        <w:rPr>
          <w:rStyle w:val="CharStyle19"/>
          <w:rFonts w:ascii="Arial" w:hAnsi="Arial" w:cs="Arial" w:eastAsia="Arial"/>
          <w:b/>
          <w:color w:val="A0A1A1"/>
          <w:sz w:val="8"/>
        </w:rPr>
        <w:t>EcoHealthABiance.org</w:t>
      </w:r>
    </w:p>
    <w:p>
      <w:pPr>
        <w:pStyle w:val="Style24"/>
        <w:keepNext w:val="0"/>
        <w:keepLines w:val="0"/>
        <w:widowControl w:val="0"/>
        <w:shd w:val="clear" w:color="auto" w:fill="auto"/>
        <w:spacing w:before="0" w:after="160" w:line="170" w:lineRule="auto"/>
        <w:ind w:left="940" w:right="0" w:firstLine="20"/>
        <w:jc w:val="left"/>
        <w:rPr>
          <w:sz w:val="20"/>
        </w:rPr>
      </w:pPr>
      <w:r>
        <w:rPr>
          <w:rStyle w:val="CharStyle25"/>
          <w:color w:val="303030"/>
          <w:sz w:val="20"/>
        </w:rPr>
        <w:t xml:space="preserve">pour le financement </w:t>
      </w:r>
      <w:r>
        <w:rPr>
          <w:rStyle w:val="CharStyle25"/>
          <w:color w:val="739BB0"/>
          <w:sz w:val="20"/>
        </w:rPr>
        <w:t xml:space="preserve">ef-pour </w:t>
      </w:r>
      <w:r>
        <w:rPr>
          <w:rStyle w:val="CharStyle25"/>
          <w:color w:val="303030"/>
          <w:sz w:val="20"/>
        </w:rPr>
        <w:t xml:space="preserve">plus de soutien technique de laboratoire, plutôt qu'une déclaration que le laboratoire était dangereux; et 2) les câbles étaient extrêmement positifs quant à l'importance du travail collaboratif que nous</w:t>
      </w:r>
      <w:r>
        <w:rPr>
          <w:rStyle w:val="CharStyle25"/>
          <w:color w:val="464648"/>
          <w:sz w:val="20"/>
        </w:rPr>
        <w:t xml:space="preserve">faisions </w:t>
      </w:r>
      <w:r>
        <w:rPr>
          <w:rStyle w:val="CharStyle25"/>
          <w:color w:val="303030"/>
          <w:sz w:val="20"/>
        </w:rPr>
        <w:t xml:space="preserve"> </w:t>
      </w:r>
      <w:r>
        <w:rPr>
          <w:rStyle w:val="CharStyle25"/>
          <w:color w:val="303030"/>
          <w:sz w:val="20"/>
        </w:rPr>
        <w:t xml:space="preserve">avec WIV </w:t>
      </w:r>
      <w:r>
        <w:rPr>
          <w:rStyle w:val="CharStyle25"/>
          <w:color w:val="464648"/>
          <w:sz w:val="20"/>
        </w:rPr>
        <w:t xml:space="preserve">dans le cadre du </w:t>
      </w:r>
      <w:r>
        <w:rPr>
          <w:rStyle w:val="CharStyle25"/>
          <w:sz w:val="20"/>
        </w:rPr>
        <w:t>financement</w:t>
      </w:r>
      <w:r>
        <w:rPr>
          <w:rStyle w:val="CharStyle25"/>
          <w:color w:val="303030"/>
          <w:sz w:val="20"/>
        </w:rPr>
        <w:t xml:space="preserve">du NIAID. </w:t>
      </w:r>
      <w:r>
        <w:rPr>
          <w:rStyle w:val="CharStyle25"/>
          <w:color w:val="739BB0"/>
          <w:sz w:val="20"/>
          <w:u w:val="single"/>
        </w:rPr>
        <w:t xml:space="preserve">Ainsi, il n'y a jamais eu de preuve d'un problème de sécurité à WIV.</w:t>
      </w:r>
      <w:r>
        <w:rPr>
          <w:rStyle w:val="CharStyle25"/>
          <w:color w:val="739BB0"/>
          <w:sz w:val="20"/>
        </w:rPr>
        <w:t xml:space="preserve"> </w:t>
      </w:r>
      <w:r>
        <w:rPr>
          <w:rStyle w:val="CharStyle25"/>
          <w:sz w:val="20"/>
        </w:rPr>
        <w:t xml:space="preserve">1 </w:t>
      </w:r>
      <w:r>
        <w:rPr>
          <w:rStyle w:val="CharStyle25"/>
          <w:color w:val="303030"/>
          <w:sz w:val="20"/>
        </w:rPr>
        <w:t xml:space="preserve">ont joint les câbles à ce </w:t>
      </w:r>
      <w:r>
        <w:rPr>
          <w:rStyle w:val="CharStyle25"/>
          <w:color w:val="464648"/>
          <w:sz w:val="20"/>
        </w:rPr>
        <w:t>courriel,</w:t>
      </w:r>
      <w:r>
        <w:rPr>
          <w:rStyle w:val="CharStyle25"/>
          <w:color w:val="303030"/>
          <w:sz w:val="20"/>
        </w:rPr>
        <w:t>et</w:t>
      </w:r>
      <w:r>
        <w:rPr>
          <w:rStyle w:val="CharStyle25"/>
          <w:color w:val="464648"/>
          <w:sz w:val="20"/>
        </w:rPr>
        <w:t xml:space="preserve"> ont extrait les déclarations pertinentes ici: </w:t>
      </w:r>
    </w:p>
    <w:p>
      <w:pPr>
        <w:pStyle w:val="Style24"/>
        <w:keepNext w:val="0"/>
        <w:keepLines w:val="0"/>
        <w:widowControl w:val="0"/>
        <w:shd w:val="clear" w:color="auto" w:fill="auto"/>
        <w:spacing w:before="0" w:after="160" w:line="170" w:lineRule="auto"/>
        <w:ind w:left="940" w:right="0" w:firstLine="20"/>
        <w:jc w:val="left"/>
        <w:rPr>
          <w:sz w:val="20"/>
        </w:rPr>
      </w:pPr>
      <w:r>
        <w:rPr>
          <w:rStyle w:val="CharStyle25"/>
          <w:color w:val="303030"/>
          <w:sz w:val="20"/>
        </w:rPr>
        <w:t>"</w:t>
      </w:r>
      <w:r>
        <w:rPr>
          <w:rStyle w:val="CharStyle25"/>
          <w:color w:val="303030"/>
          <w:sz w:val="20"/>
          <w:u w:val="single"/>
        </w:rPr>
        <w:t xml:space="preserve">REDACTED a noté que le nouveau laboratoire manquait</w:t>
      </w:r>
      <w:r>
        <w:rPr>
          <w:rStyle w:val="CharStyle25"/>
          <w:color w:val="303030"/>
          <w:sz w:val="20"/>
          <w:u w:val="single"/>
        </w:rPr>
        <w:t xml:space="preserve"> </w:t>
      </w:r>
      <w:r>
        <w:rPr>
          <w:rStyle w:val="CharStyle25"/>
          <w:color w:val="464648"/>
          <w:sz w:val="20"/>
          <w:u w:val="single"/>
        </w:rPr>
        <w:t xml:space="preserve">cruellement </w:t>
      </w:r>
      <w:r>
        <w:rPr>
          <w:rStyle w:val="CharStyle25"/>
          <w:color w:val="303030"/>
          <w:sz w:val="20"/>
          <w:u w:val="single"/>
        </w:rPr>
        <w:t xml:space="preserve">de techniciens et d ' enquêteurs dûment formés pour exploiter en toute sécurité ce laboratoire à confinement élevé. </w:t>
      </w:r>
      <w:r>
        <w:rPr>
          <w:rStyle w:val="CharStyle25"/>
          <w:color w:val="303030"/>
          <w:sz w:val="20"/>
        </w:rPr>
        <w:t xml:space="preserve"> La branche médicale de l'Université du Texas à Galveston (UTMB), qui possède l'un des nombreux laboratoires BSL-4 bien établis aux États-Unis (soutenu par l'Institut national des allergies et des maladies infectieuses (NIAID du NIH)), a des collaborations scientifiques avec WIV, ce qui peut aider à réduire ce déficit de talents au fil du temps. Des chercheurs de l'UGTMB aideraient à former des techniciens qui travaillent dans le laboratoire WIV BSL-4. </w:t>
      </w:r>
      <w:r>
        <w:rPr>
          <w:rStyle w:val="CharStyle25"/>
          <w:color w:val="303030"/>
          <w:sz w:val="20"/>
          <w:u w:val="single"/>
        </w:rPr>
        <w:t xml:space="preserve">Malgré cela, ils souhaiteraient davantage d’aide de la part des États-Unis et d’organisations internationales, qui établiraient pour la première fois en Chine des procédures opérationnelles et des cours de formation conformes aux normes d’or.»</w:t>
      </w:r>
    </w:p>
    <w:p>
      <w:pPr>
        <w:pStyle w:val="Style24"/>
        <w:keepNext w:val="0"/>
        <w:keepLines w:val="0"/>
        <w:widowControl w:val="0"/>
        <w:shd w:val="clear" w:color="auto" w:fill="auto"/>
        <w:spacing w:before="0" w:after="160" w:line="170" w:lineRule="auto"/>
        <w:ind w:left="940" w:right="0" w:firstLine="20"/>
        <w:jc w:val="left"/>
        <w:rPr>
          <w:sz w:val="20"/>
        </w:rPr>
      </w:pPr>
      <w:r>
        <w:rPr>
          <w:rStyle w:val="CharStyle25"/>
          <w:color w:val="303030"/>
          <w:sz w:val="20"/>
        </w:rPr>
        <w:t xml:space="preserve">«La capacité des scientifiques du WIV à entreprendre des recherches productives malgré les limites imposées à l'utilisation de la nouvelle </w:t>
      </w:r>
      <w:r>
        <w:rPr>
          <w:rStyle w:val="CharStyle25"/>
          <w:color w:val="464648"/>
          <w:sz w:val="20"/>
        </w:rPr>
        <w:t xml:space="preserve">installation BSL-4» est </w:t>
      </w:r>
      <w:r>
        <w:rPr>
          <w:rStyle w:val="CharStyle25"/>
          <w:color w:val="303030"/>
          <w:sz w:val="20"/>
        </w:rPr>
        <w:t xml:space="preserve">démontrée par une publication récente sur les origines du SRAS. Au cours d'une étude de cinq ans, REDACTED (et son équipe de recherche) ont largement échantillonné des chauves-souris dans la province du Yunnan avec le soutien financier de NlAlD / NIH, de l'USAID et de plusieurs organismes de financement chinois. Les résultats de l'étude ont été publiés dans PLoS Pathogens en ligne le 30 novembre 2017 (1 et ^ ont démontré qu'un coronavirus SARS-iike isolé de chauves-souris en fer à cheval dans une seule grotte contient </w:t>
      </w:r>
      <w:r>
        <w:rPr>
          <w:rStyle w:val="CharStyle25"/>
          <w:color w:val="464648"/>
          <w:sz w:val="20"/>
        </w:rPr>
        <w:t xml:space="preserve">tous les </w:t>
      </w:r>
      <w:r>
        <w:rPr>
          <w:rStyle w:val="CharStyle25"/>
          <w:color w:val="303030"/>
          <w:sz w:val="20"/>
        </w:rPr>
        <w:t xml:space="preserve">éléments constitutifs du génome pandémique du coronavirus SRAS qui a causé l'épidémie humaine. Ces résultats suggèrent fortement que le coronavirus hautement pathogène du SRAS est originaire </w:t>
      </w:r>
      <w:r>
        <w:rPr>
          <w:rStyle w:val="CharStyle25"/>
          <w:color w:val="464648"/>
          <w:sz w:val="20"/>
        </w:rPr>
        <w:t xml:space="preserve">de cette population de </w:t>
      </w:r>
      <w:r>
        <w:rPr>
          <w:rStyle w:val="CharStyle25"/>
          <w:color w:val="303030"/>
          <w:sz w:val="20"/>
        </w:rPr>
        <w:t xml:space="preserve">chauves-souris. Plus important encore, les chercheurs ont également montré que divers coronavirus semblables au SRAS peuvent interagir avec ACE2, le récepteur humain identifié pour le coronavirus du SRAS. Cette découverte suggère fortement que les coronavirus semblables au SRAS des chauves-souris peuvent être transmis à l'homme pour causer une maladie semblable au SRAS. </w:t>
      </w:r>
      <w:r>
        <w:rPr>
          <w:rStyle w:val="CharStyle25"/>
          <w:color w:val="464648"/>
          <w:sz w:val="20"/>
          <w:u w:val="single"/>
        </w:rPr>
        <w:t xml:space="preserve">Du </w:t>
      </w:r>
      <w:r>
        <w:rPr>
          <w:rStyle w:val="CharStyle25"/>
          <w:color w:val="303030"/>
          <w:sz w:val="20"/>
          <w:u w:val="single"/>
        </w:rPr>
        <w:t>point</w:t>
      </w:r>
      <w:r>
        <w:rPr>
          <w:rStyle w:val="CharStyle25"/>
          <w:color w:val="303030"/>
          <w:sz w:val="20"/>
          <w:u w:val="single"/>
        </w:rPr>
        <w:t xml:space="preserve">de vue de </w:t>
      </w:r>
      <w:r>
        <w:rPr>
          <w:rStyle w:val="CharStyle25"/>
          <w:color w:val="303030"/>
          <w:sz w:val="20"/>
          <w:u w:val="single"/>
        </w:rPr>
        <w:t xml:space="preserve">la santé</w:t>
      </w:r>
      <w:r>
        <w:rPr>
          <w:rStyle w:val="CharStyle25"/>
          <w:color w:val="464648"/>
          <w:sz w:val="20"/>
          <w:u w:val="single"/>
        </w:rPr>
        <w:t xml:space="preserve">publique, </w:t>
      </w:r>
      <w:r>
        <w:rPr>
          <w:rStyle w:val="CharStyle25"/>
          <w:color w:val="303030"/>
          <w:sz w:val="20"/>
          <w:u w:val="single"/>
        </w:rPr>
        <w:t xml:space="preserve">cela rend la surveillance continue des virus corona semblables au SRAS chez les chauves-souris et l’étude de l’interface animaux-humains essentielles à la prévision et à la prévention des futures épidémies émergentes de coronavirus.»</w:t>
      </w:r>
    </w:p>
    <w:p>
      <w:pPr>
        <w:pStyle w:val="Style24"/>
        <w:keepNext w:val="0"/>
        <w:keepLines w:val="0"/>
        <w:widowControl w:val="0"/>
        <w:numPr>
          <w:ilvl w:val="0"/>
          <w:numId w:val="17"/>
        </w:numPr>
        <w:shd w:val="clear" w:color="auto" w:fill="auto"/>
        <w:tabs>
          <w:tab w:pos="1171" w:val="left"/>
        </w:tabs>
        <w:spacing w:before="0" w:after="0" w:line="170" w:lineRule="auto"/>
        <w:ind w:left="940" w:right="0" w:firstLine="20"/>
        <w:jc w:val="left"/>
        <w:rPr>
          <w:sz w:val="20"/>
        </w:rPr>
      </w:pPr>
      <w:r>
        <w:rPr>
          <w:rStyle w:val="CharStyle25"/>
          <w:color w:val="303030"/>
          <w:sz w:val="20"/>
        </w:rPr>
        <w:t xml:space="preserve">Divulguer et expliquer les restrictions inhabituelles sur les installations de </w:t>
      </w:r>
      <w:r>
        <w:rPr>
          <w:rStyle w:val="CharStyle25"/>
          <w:sz w:val="20"/>
        </w:rPr>
        <w:t xml:space="preserve"> </w:t>
      </w:r>
      <w:r>
        <w:rPr>
          <w:rStyle w:val="CharStyle25"/>
          <w:color w:val="303030"/>
          <w:sz w:val="20"/>
        </w:rPr>
        <w:t xml:space="preserve">laboratoire, </w:t>
      </w:r>
      <w:r>
        <w:rPr>
          <w:rStyle w:val="CharStyle25"/>
          <w:sz w:val="20"/>
        </w:rPr>
        <w:t xml:space="preserve"> </w:t>
      </w:r>
      <w:r>
        <w:rPr>
          <w:rStyle w:val="CharStyle25"/>
          <w:color w:val="303030"/>
          <w:sz w:val="20"/>
        </w:rPr>
        <w:t xml:space="preserve">comme le suggère, </w:t>
      </w:r>
      <w:r>
        <w:rPr>
          <w:rStyle w:val="CharStyle25"/>
          <w:sz w:val="20"/>
        </w:rPr>
        <w:t xml:space="preserve"> </w:t>
      </w:r>
      <w:r>
        <w:rPr>
          <w:rStyle w:val="CharStyle25"/>
          <w:color w:val="303030"/>
          <w:sz w:val="20"/>
        </w:rPr>
        <w:t xml:space="preserve">par exemple, la </w:t>
      </w:r>
      <w:r>
        <w:rPr>
          <w:rStyle w:val="CharStyle25"/>
          <w:sz w:val="20"/>
        </w:rPr>
        <w:t xml:space="preserve">diminution </w:t>
      </w:r>
      <w:r>
        <w:rPr>
          <w:rStyle w:val="CharStyle25"/>
          <w:color w:val="303030"/>
          <w:sz w:val="20"/>
        </w:rPr>
        <w:t xml:space="preserve">du trafic de téléphones cellulaires en octobre </w:t>
      </w:r>
      <w:r>
        <w:rPr>
          <w:rStyle w:val="CharStyle25"/>
          <w:sz w:val="20"/>
        </w:rPr>
        <w:t xml:space="preserve">2019, et la </w:t>
      </w:r>
      <w:r>
        <w:rPr>
          <w:rStyle w:val="CharStyle25"/>
          <w:color w:val="303030"/>
          <w:sz w:val="20"/>
        </w:rPr>
        <w:t xml:space="preserve">preuve qu'il </w:t>
      </w:r>
      <w:r>
        <w:rPr>
          <w:rStyle w:val="CharStyle25"/>
          <w:sz w:val="20"/>
        </w:rPr>
        <w:t xml:space="preserve">pourrait y avoir eu </w:t>
      </w:r>
      <w:r>
        <w:rPr>
          <w:rStyle w:val="CharStyle25"/>
          <w:color w:val="303030"/>
          <w:sz w:val="20"/>
        </w:rPr>
        <w:t xml:space="preserve">des barrages routiers autour de l'installation </w:t>
      </w:r>
      <w:r>
        <w:rPr>
          <w:rStyle w:val="CharStyle25"/>
          <w:sz w:val="20"/>
        </w:rPr>
        <w:t xml:space="preserve">du </w:t>
      </w:r>
      <w:r>
        <w:rPr>
          <w:rStyle w:val="CharStyle25"/>
          <w:color w:val="303030"/>
          <w:sz w:val="20"/>
        </w:rPr>
        <w:t xml:space="preserve">14 au 19 octobre 2019. </w:t>
      </w:r>
    </w:p>
    <w:p>
      <w:pPr>
        <w:pStyle w:val="Style24"/>
        <w:keepNext w:val="0"/>
        <w:keepLines w:val="0"/>
        <w:widowControl w:val="0"/>
        <w:shd w:val="clear" w:color="auto" w:fill="auto"/>
        <w:spacing w:before="0" w:after="160" w:line="170" w:lineRule="auto"/>
        <w:ind w:left="940" w:right="0" w:firstLine="20"/>
        <w:jc w:val="left"/>
        <w:rPr>
          <w:sz w:val="20"/>
        </w:rPr>
      </w:pPr>
      <w:r>
        <w:rPr>
          <w:rStyle w:val="CharStyle25"/>
          <w:color w:val="464648"/>
          <w:sz w:val="20"/>
        </w:rPr>
        <w:t xml:space="preserve">Le </w:t>
      </w:r>
      <w:r>
        <w:rPr>
          <w:rStyle w:val="CharStyle25"/>
          <w:color w:val="303030"/>
          <w:sz w:val="20"/>
        </w:rPr>
        <w:t xml:space="preserve">personnel du WIV a déclaré catégoriquement à la mission de l'OMS que le laboratoire fait l'objet d'un </w:t>
      </w:r>
      <w:r>
        <w:rPr>
          <w:rStyle w:val="CharStyle25"/>
          <w:color w:val="464648"/>
          <w:sz w:val="20"/>
        </w:rPr>
        <w:t xml:space="preserve">audit </w:t>
      </w:r>
      <w:r>
        <w:rPr>
          <w:rStyle w:val="CharStyle25"/>
          <w:color w:val="303030"/>
          <w:sz w:val="20"/>
        </w:rPr>
        <w:t xml:space="preserve">annuel et qu'aucun événement inhabituel n'a été identifié. Les informations faisant état d'une diminution de la circulation des téléphones portables et des barrages routiers n'ont pas été vérifiées ou publiées par des sources fiables. La diminution de la circulation des téléphones cellulaires et des barrages routiers pourrait s'expliquer par une série de problèmes courants tels que des problèmes techniques avec les installations de téléphonie cellulaire, des dignitaires en visite, etc.</w:t>
      </w:r>
    </w:p>
    <w:p>
      <w:pPr>
        <w:pStyle w:val="Style24"/>
        <w:keepNext w:val="0"/>
        <w:keepLines w:val="0"/>
        <w:widowControl w:val="0"/>
        <w:numPr>
          <w:ilvl w:val="0"/>
          <w:numId w:val="17"/>
        </w:numPr>
        <w:shd w:val="clear" w:color="auto" w:fill="auto"/>
        <w:tabs>
          <w:tab w:pos="1166" w:val="left"/>
        </w:tabs>
        <w:spacing w:before="0" w:after="0" w:line="170" w:lineRule="auto"/>
        <w:ind w:left="940" w:right="0" w:firstLine="20"/>
        <w:jc w:val="left"/>
        <w:rPr>
          <w:sz w:val="20"/>
        </w:rPr>
      </w:pPr>
      <w:r>
        <w:rPr>
          <w:rStyle w:val="CharStyle25"/>
          <w:color w:val="303030"/>
          <w:sz w:val="20"/>
        </w:rPr>
        <w:t xml:space="preserve">Expliquez pourquoi </w:t>
      </w:r>
      <w:r>
        <w:rPr>
          <w:rStyle w:val="CharStyle25"/>
          <w:sz w:val="20"/>
        </w:rPr>
        <w:t xml:space="preserve">WIV </w:t>
      </w:r>
      <w:r>
        <w:rPr>
          <w:rStyle w:val="CharStyle25"/>
          <w:color w:val="303030"/>
          <w:sz w:val="20"/>
        </w:rPr>
        <w:t xml:space="preserve">a omis </w:t>
      </w:r>
      <w:r>
        <w:rPr>
          <w:rStyle w:val="CharStyle25"/>
          <w:sz w:val="20"/>
        </w:rPr>
        <w:t xml:space="preserve">de </w:t>
      </w:r>
      <w:r>
        <w:rPr>
          <w:rStyle w:val="CharStyle25"/>
          <w:color w:val="303030"/>
          <w:sz w:val="20"/>
        </w:rPr>
        <w:t xml:space="preserve">noter </w:t>
      </w:r>
      <w:r>
        <w:rPr>
          <w:rStyle w:val="CharStyle25"/>
          <w:sz w:val="20"/>
        </w:rPr>
        <w:t xml:space="preserve">que le virus RaTG13, le coronavirus </w:t>
      </w:r>
      <w:r>
        <w:rPr>
          <w:rStyle w:val="CharStyle25"/>
          <w:color w:val="303030"/>
          <w:sz w:val="20"/>
        </w:rPr>
        <w:t xml:space="preserve">dérivé de la chauve-souris </w:t>
      </w:r>
      <w:r>
        <w:rPr>
          <w:rStyle w:val="CharStyle25"/>
          <w:sz w:val="20"/>
        </w:rPr>
        <w:t xml:space="preserve">dans sa collection </w:t>
      </w:r>
      <w:r>
        <w:rPr>
          <w:rStyle w:val="CharStyle25"/>
          <w:color w:val="303030"/>
          <w:sz w:val="20"/>
        </w:rPr>
        <w:t xml:space="preserve">avec la plus grande similitude avec </w:t>
      </w:r>
      <w:r>
        <w:rPr>
          <w:rStyle w:val="CharStyle25"/>
          <w:sz w:val="20"/>
        </w:rPr>
        <w:t xml:space="preserve">le </w:t>
      </w:r>
      <w:r>
        <w:rPr>
          <w:rStyle w:val="CharStyle25"/>
          <w:color w:val="303030"/>
          <w:sz w:val="20"/>
        </w:rPr>
        <w:t xml:space="preserve">SARS-CoV-2, </w:t>
      </w:r>
      <w:r>
        <w:rPr>
          <w:rStyle w:val="CharStyle25"/>
          <w:sz w:val="20"/>
        </w:rPr>
        <w:t xml:space="preserve"> </w:t>
      </w:r>
      <w:r>
        <w:rPr>
          <w:rStyle w:val="CharStyle25"/>
          <w:color w:val="303030"/>
          <w:sz w:val="20"/>
        </w:rPr>
        <w:t xml:space="preserve">a été isolé d'une </w:t>
      </w:r>
      <w:r>
        <w:rPr>
          <w:rStyle w:val="CharStyle25"/>
          <w:sz w:val="20"/>
        </w:rPr>
        <w:t xml:space="preserve"> </w:t>
      </w:r>
      <w:r>
        <w:rPr>
          <w:rStyle w:val="CharStyle25"/>
          <w:color w:val="303030"/>
          <w:sz w:val="20"/>
        </w:rPr>
        <w:t xml:space="preserve"> </w:t>
      </w:r>
      <w:r>
        <w:rPr>
          <w:rStyle w:val="CharStyle25"/>
          <w:sz w:val="20"/>
        </w:rPr>
        <w:t xml:space="preserve">mine abandonnée </w:t>
      </w:r>
      <w:r>
        <w:rPr>
          <w:rStyle w:val="CharStyle25"/>
          <w:color w:val="303030"/>
          <w:sz w:val="20"/>
        </w:rPr>
        <w:t xml:space="preserve">où trois </w:t>
      </w:r>
      <w:r>
        <w:rPr>
          <w:rStyle w:val="CharStyle25"/>
          <w:sz w:val="20"/>
        </w:rPr>
        <w:t xml:space="preserve">hommes sont morts en 2012 </w:t>
      </w:r>
      <w:r>
        <w:rPr>
          <w:rStyle w:val="CharStyle25"/>
          <w:color w:val="303030"/>
          <w:sz w:val="20"/>
        </w:rPr>
        <w:t xml:space="preserve">d'une </w:t>
      </w:r>
      <w:r>
        <w:rPr>
          <w:rStyle w:val="CharStyle25"/>
          <w:sz w:val="20"/>
        </w:rPr>
        <w:t xml:space="preserve"> </w:t>
      </w:r>
      <w:r>
        <w:rPr>
          <w:rStyle w:val="CharStyle25"/>
          <w:color w:val="303030"/>
          <w:sz w:val="20"/>
        </w:rPr>
        <w:t xml:space="preserve">maladie remarquablement similaire à </w:t>
      </w:r>
      <w:r>
        <w:rPr>
          <w:rStyle w:val="CharStyle25"/>
          <w:sz w:val="20"/>
        </w:rPr>
        <w:t xml:space="preserve">la COVID-19, et </w:t>
      </w:r>
      <w:r>
        <w:rPr>
          <w:rStyle w:val="CharStyle25"/>
          <w:color w:val="303030"/>
          <w:sz w:val="20"/>
        </w:rPr>
        <w:t xml:space="preserve">expliquez </w:t>
      </w:r>
      <w:r>
        <w:rPr>
          <w:rStyle w:val="CharStyle25"/>
          <w:sz w:val="20"/>
        </w:rPr>
        <w:t xml:space="preserve">pourquoi </w:t>
      </w:r>
      <w:r>
        <w:rPr>
          <w:rStyle w:val="CharStyle25"/>
          <w:color w:val="303030"/>
          <w:sz w:val="20"/>
        </w:rPr>
        <w:t xml:space="preserve">cela </w:t>
      </w:r>
      <w:r>
        <w:rPr>
          <w:rStyle w:val="CharStyle25"/>
          <w:sz w:val="20"/>
        </w:rPr>
        <w:t xml:space="preserve">n'a pas été suivi.</w:t>
      </w:r>
    </w:p>
    <w:p>
      <w:pPr>
        <w:pStyle w:val="Style24"/>
        <w:keepNext w:val="0"/>
        <w:keepLines w:val="0"/>
        <w:widowControl w:val="0"/>
        <w:shd w:val="clear" w:color="auto" w:fill="auto"/>
        <w:spacing w:before="0" w:after="400" w:line="170" w:lineRule="auto"/>
        <w:ind w:left="940" w:right="0" w:firstLine="20"/>
        <w:jc w:val="left"/>
        <w:rPr>
          <w:sz w:val="20"/>
        </w:rPr>
      </w:pPr>
      <w:r>
        <w:rPr>
          <w:rStyle w:val="CharStyle25"/>
          <w:color w:val="303030"/>
          <w:sz w:val="20"/>
        </w:rPr>
        <w:t xml:space="preserve">Depuis que la dernière lettre a été reçue des NIH, les scientifiques du WIV ont publié un addendum à leur article original </w:t>
      </w:r>
      <w:r>
        <w:rPr>
          <w:rStyle w:val="CharStyle25"/>
          <w:color w:val="464648"/>
          <w:sz w:val="20"/>
        </w:rPr>
        <w:t xml:space="preserve">dans </w:t>
      </w:r>
      <w:r>
        <w:rPr>
          <w:rStyle w:val="CharStyle25"/>
          <w:i/>
          <w:color w:val="303030"/>
          <w:sz w:val="20"/>
        </w:rPr>
        <w:t>Nature</w:t>
      </w:r>
      <w:r>
        <w:rPr>
          <w:rStyle w:val="CharStyle25"/>
          <w:color w:val="303030"/>
          <w:sz w:val="20"/>
        </w:rPr>
        <w:t xml:space="preserve"> qui décrivait le SARS-CoV-2 et le comparait phylogénétiquement au RaTG13. Dans </w:t>
      </w:r>
      <w:r>
        <w:rPr>
          <w:rStyle w:val="CharStyle25"/>
          <w:color w:val="464648"/>
          <w:sz w:val="20"/>
        </w:rPr>
        <w:t>ce</w:t>
      </w:r>
    </w:p>
    <w:p>
      <w:pPr>
        <w:pStyle w:val="Style18"/>
        <w:keepNext w:val="0"/>
        <w:keepLines w:val="0"/>
        <w:widowControl w:val="0"/>
        <w:shd w:val="clear" w:color="auto" w:fill="auto"/>
        <w:spacing w:before="0" w:after="0" w:line="288" w:lineRule="auto"/>
        <w:ind w:left="840" w:right="0" w:firstLine="0"/>
        <w:jc w:val="left"/>
        <w:rPr>
          <w:sz w:val="8"/>
        </w:rPr>
      </w:pPr>
      <w:r>
        <w:rPr>
          <w:rStyle w:val="CharStyle19"/>
          <w:rFonts w:ascii="Arial" w:hAnsi="Arial" w:cs="Arial" w:eastAsia="Arial"/>
          <w:b/>
          <w:color w:val="A0A1A1"/>
          <w:sz w:val="8"/>
        </w:rPr>
        <w:t xml:space="preserve">Alliance EcoHealrh</w:t>
      </w:r>
    </w:p>
    <w:p>
      <w:pPr>
        <w:pStyle w:val="Style18"/>
        <w:keepNext w:val="0"/>
        <w:keepLines w:val="0"/>
        <w:widowControl w:val="0"/>
        <w:shd w:val="clear" w:color="auto" w:fill="auto"/>
        <w:spacing w:before="0" w:after="0" w:line="288" w:lineRule="auto"/>
        <w:ind w:left="840" w:right="0" w:firstLine="0"/>
        <w:jc w:val="left"/>
        <w:rPr>
          <w:sz w:val="8"/>
        </w:rPr>
      </w:pPr>
      <w:r>
        <w:rPr>
          <w:rStyle w:val="CharStyle19"/>
          <w:rFonts w:ascii="Arial" w:hAnsi="Arial" w:cs="Arial" w:eastAsia="Arial"/>
          <w:b/>
          <w:color w:val="A0A1A1"/>
          <w:sz w:val="8"/>
        </w:rPr>
        <w:t xml:space="preserve">530 ElqhthAvenue, Suite 1100 New York, NY 1001B 212380.4 460</w:t>
      </w:r>
    </w:p>
    <w:p>
      <w:pPr>
        <w:pStyle w:val="Style18"/>
        <w:keepNext w:val="0"/>
        <w:keepLines w:val="0"/>
        <w:widowControl w:val="0"/>
        <w:shd w:val="clear" w:color="auto" w:fill="auto"/>
        <w:spacing w:before="0" w:after="160" w:line="288" w:lineRule="auto"/>
        <w:ind w:left="840" w:right="0" w:firstLine="0"/>
        <w:jc w:val="left"/>
        <w:rPr>
          <w:sz w:val="8"/>
        </w:rPr>
      </w:pPr>
      <w:r>
        <w:rPr>
          <w:rStyle w:val="CharStyle19"/>
          <w:rFonts w:ascii="Arial" w:hAnsi="Arial" w:cs="Arial" w:eastAsia="Arial"/>
          <w:b/>
          <w:color w:val="A0A1A1"/>
          <w:sz w:val="8"/>
        </w:rPr>
        <w:t>EcoHealthAlliam:fr.org</w:t>
      </w:r>
      <w:r>
        <w:br w:type="page"/>
      </w:r>
    </w:p>
    <w:p>
      <w:pPr>
        <w:pStyle w:val="Style24"/>
        <w:keepNext w:val="0"/>
        <w:keepLines w:val="0"/>
        <w:widowControl w:val="0"/>
        <w:shd w:val="clear" w:color="auto" w:fill="auto"/>
        <w:spacing w:before="0" w:after="160" w:line="170" w:lineRule="auto"/>
        <w:ind w:left="940" w:right="0" w:firstLine="20"/>
        <w:jc w:val="left"/>
        <w:rPr>
          <w:sz w:val="20"/>
        </w:rPr>
      </w:pPr>
      <w:r>
        <w:rPr>
          <w:rStyle w:val="CharStyle25"/>
          <w:color w:val="303030"/>
          <w:sz w:val="20"/>
        </w:rPr>
        <w:t xml:space="preserve">Addendum, ils expliquent la raison d'être des travaux dans cette mine, et son lien avec les maladies et les décès du mineur. Il est important de noter qu'ils expliquent que les premiers résultats sérologiques n'ont </w:t>
      </w:r>
      <w:r>
        <w:rPr>
          <w:rStyle w:val="CharStyle25"/>
          <w:color w:val="739BB0"/>
          <w:sz w:val="20"/>
        </w:rPr>
        <w:t xml:space="preserve">PAS montré </w:t>
      </w:r>
      <w:r>
        <w:rPr>
          <w:rStyle w:val="CharStyle25"/>
          <w:color w:val="303030"/>
          <w:sz w:val="20"/>
        </w:rPr>
        <w:t xml:space="preserve">que ces mineurs étaient positifs pour le SARSr-CoVsas que certains articles de presse ont suggéré. En outre, ils ont retesté les échantillons de mineurs en utilisant une gamme de tests, et n'ont trouvé aucune preuve de CoV lié au SRAS, ni d'anticorps CoV 2 du SRAS ou d'acide nucléique. Lors de notre rencontre avec le personnel du WIV dans le cadre de la mission de l'OMS, j'ai posé une série de questions sur les maladies du mineur. </w:t>
      </w:r>
      <w:r>
        <w:rPr>
          <w:rStyle w:val="CharStyle25"/>
          <w:color w:val="656361"/>
          <w:sz w:val="20"/>
        </w:rPr>
        <w:t xml:space="preserve">Leur </w:t>
      </w:r>
      <w:r>
        <w:rPr>
          <w:rStyle w:val="CharStyle25"/>
          <w:color w:val="303030"/>
          <w:sz w:val="20"/>
        </w:rPr>
        <w:t xml:space="preserve">réponse était que, bien que similaires à la COVID en ce qu'ils souffraient </w:t>
      </w:r>
      <w:r>
        <w:rPr>
          <w:rStyle w:val="CharStyle25"/>
          <w:color w:val="739BB0"/>
          <w:sz w:val="20"/>
          <w:u w:val="single"/>
        </w:rPr>
        <w:t xml:space="preserve">de pneumonie, un risque professionnel courant pour les mineurs, </w:t>
      </w:r>
      <w:r>
        <w:rPr>
          <w:rStyle w:val="CharStyle25"/>
          <w:color w:val="303030"/>
          <w:sz w:val="20"/>
        </w:rPr>
        <w:t xml:space="preserve">les symptômes étaient également similaires à ceux d'autres pneumonies bactériennes ou fongiques. Ceci, et l'absence de preuves de l'infection par le SARSr-CoV, </w:t>
      </w:r>
      <w:r>
        <w:rPr>
          <w:rStyle w:val="CharStyle25"/>
          <w:color w:val="739BB0"/>
          <w:sz w:val="20"/>
          <w:u w:val="single"/>
        </w:rPr>
        <w:t xml:space="preserve">y compris l'absence de réponses immunitaires, </w:t>
      </w:r>
      <w:r>
        <w:rPr>
          <w:rStyle w:val="CharStyle25"/>
          <w:color w:val="303030"/>
          <w:sz w:val="20"/>
        </w:rPr>
        <w:t xml:space="preserve">les ont amenés</w:t>
      </w:r>
      <w:r>
        <w:rPr>
          <w:rStyle w:val="CharStyle25"/>
          <w:color w:val="739BB0"/>
          <w:sz w:val="20"/>
          <w:u w:val="single"/>
        </w:rPr>
        <w:t xml:space="preserve">à conclure que le SRAS ou l'infection par la COVID avaient </w:t>
      </w:r>
      <w:r>
        <w:rPr>
          <w:rStyle w:val="CharStyle25"/>
          <w:color w:val="739BB0"/>
          <w:sz w:val="20"/>
          <w:u w:val="single"/>
        </w:rPr>
        <w:t xml:space="preserve">été </w:t>
      </w:r>
      <w:r>
        <w:rPr>
          <w:rStyle w:val="CharStyle25"/>
          <w:color w:val="739BB0"/>
          <w:sz w:val="20"/>
          <w:u w:val="single"/>
        </w:rPr>
        <w:t xml:space="preserve">éliminés comme</w:t>
      </w:r>
      <w:r>
        <w:rPr>
          <w:rStyle w:val="CharStyle25"/>
          <w:color w:val="739BB0"/>
          <w:sz w:val="20"/>
        </w:rPr>
        <w:t xml:space="preserve">était-Rot </w:t>
      </w:r>
      <w:r>
        <w:rPr>
          <w:rStyle w:val="CharStyle25"/>
          <w:color w:val="303030"/>
          <w:sz w:val="20"/>
        </w:rPr>
        <w:t xml:space="preserve">la cause des maladies de ces mineurs.</w:t>
      </w:r>
    </w:p>
    <w:p>
      <w:pPr>
        <w:pStyle w:val="Style24"/>
        <w:keepNext w:val="0"/>
        <w:keepLines w:val="0"/>
        <w:widowControl w:val="0"/>
        <w:numPr>
          <w:ilvl w:val="0"/>
          <w:numId w:val="17"/>
        </w:numPr>
        <w:shd w:val="clear" w:color="auto" w:fill="auto"/>
        <w:tabs>
          <w:tab w:pos="1166" w:val="left"/>
        </w:tabs>
        <w:spacing w:before="0" w:after="0" w:line="170" w:lineRule="auto"/>
        <w:ind w:left="940" w:right="0" w:firstLine="20"/>
        <w:jc w:val="left"/>
        <w:rPr>
          <w:sz w:val="20"/>
        </w:rPr>
      </w:pPr>
      <w:r>
        <w:rPr>
          <w:rStyle w:val="CharStyle25"/>
          <w:sz w:val="20"/>
        </w:rPr>
        <w:t xml:space="preserve">En outre, </w:t>
      </w:r>
      <w:r>
        <w:rPr>
          <w:rStyle w:val="CharStyle25"/>
          <w:color w:val="303030"/>
          <w:sz w:val="20"/>
        </w:rPr>
        <w:t xml:space="preserve">EcoHealth </w:t>
      </w:r>
      <w:r>
        <w:rPr>
          <w:rStyle w:val="CharStyle25"/>
          <w:sz w:val="20"/>
        </w:rPr>
        <w:t xml:space="preserve">Alliance doit </w:t>
      </w:r>
      <w:r>
        <w:rPr>
          <w:rStyle w:val="CharStyle25"/>
          <w:color w:val="303030"/>
          <w:sz w:val="20"/>
        </w:rPr>
        <w:t xml:space="preserve">prendre des dispositions pour </w:t>
      </w:r>
      <w:r>
        <w:rPr>
          <w:rStyle w:val="CharStyle25"/>
          <w:sz w:val="20"/>
        </w:rPr>
        <w:t xml:space="preserve"> </w:t>
      </w:r>
      <w:r>
        <w:rPr>
          <w:rStyle w:val="CharStyle25"/>
          <w:color w:val="303030"/>
          <w:sz w:val="20"/>
        </w:rPr>
        <w:t xml:space="preserve">que WIV se soumette </w:t>
      </w:r>
      <w:r>
        <w:rPr>
          <w:rStyle w:val="CharStyle25"/>
          <w:sz w:val="20"/>
        </w:rPr>
        <w:t xml:space="preserve">à une équipe </w:t>
      </w:r>
      <w:r>
        <w:rPr>
          <w:rStyle w:val="CharStyle25"/>
          <w:color w:val="303030"/>
          <w:sz w:val="20"/>
        </w:rPr>
        <w:t xml:space="preserve">d'inspection </w:t>
      </w:r>
      <w:r>
        <w:rPr>
          <w:rStyle w:val="CharStyle25"/>
          <w:color w:val="303030"/>
          <w:sz w:val="20"/>
        </w:rPr>
        <w:t xml:space="preserve"> </w:t>
      </w:r>
      <w:r>
        <w:rPr>
          <w:rStyle w:val="CharStyle25"/>
          <w:color w:val="303030"/>
          <w:sz w:val="20"/>
        </w:rPr>
        <w:t xml:space="preserve">externe chargée </w:t>
      </w:r>
      <w:r>
        <w:rPr>
          <w:rStyle w:val="CharStyle25"/>
          <w:color w:val="303030"/>
          <w:sz w:val="20"/>
        </w:rPr>
        <w:t xml:space="preserve">d'examiner </w:t>
      </w:r>
      <w:r>
        <w:rPr>
          <w:rStyle w:val="CharStyle25"/>
          <w:color w:val="303030"/>
          <w:sz w:val="20"/>
        </w:rPr>
        <w:t xml:space="preserve">les installations de laboratoire </w:t>
      </w:r>
      <w:r>
        <w:rPr>
          <w:rStyle w:val="CharStyle25"/>
          <w:sz w:val="20"/>
        </w:rPr>
        <w:t xml:space="preserve">et </w:t>
      </w:r>
      <w:r>
        <w:rPr>
          <w:rStyle w:val="CharStyle25"/>
          <w:color w:val="303030"/>
          <w:sz w:val="20"/>
        </w:rPr>
        <w:t xml:space="preserve">les dossiers </w:t>
      </w:r>
      <w:r>
        <w:rPr>
          <w:rStyle w:val="CharStyle25"/>
          <w:color w:val="303030"/>
          <w:sz w:val="20"/>
        </w:rPr>
        <w:t xml:space="preserve">de laboratoire, </w:t>
      </w:r>
      <w:r>
        <w:rPr>
          <w:rStyle w:val="CharStyle25"/>
          <w:color w:val="303030"/>
          <w:sz w:val="20"/>
        </w:rPr>
        <w:t xml:space="preserve">en accordant une attention </w:t>
      </w:r>
      <w:r>
        <w:rPr>
          <w:rStyle w:val="CharStyle25"/>
          <w:color w:val="303030"/>
          <w:sz w:val="20"/>
        </w:rPr>
        <w:t xml:space="preserve">particulière </w:t>
      </w:r>
      <w:r>
        <w:rPr>
          <w:rStyle w:val="CharStyle25"/>
          <w:color w:val="303030"/>
          <w:sz w:val="20"/>
        </w:rPr>
        <w:t xml:space="preserve"> </w:t>
      </w:r>
      <w:r>
        <w:rPr>
          <w:rStyle w:val="CharStyle25"/>
          <w:color w:val="303030"/>
          <w:sz w:val="20"/>
        </w:rPr>
        <w:t xml:space="preserve">à </w:t>
      </w:r>
      <w:r>
        <w:rPr>
          <w:rStyle w:val="CharStyle25"/>
          <w:color w:val="303030"/>
          <w:sz w:val="20"/>
        </w:rPr>
        <w:t xml:space="preserve">la question de savoir si le personnel de </w:t>
      </w:r>
      <w:r>
        <w:rPr>
          <w:rStyle w:val="CharStyle25"/>
          <w:sz w:val="20"/>
        </w:rPr>
        <w:t xml:space="preserve">WIV avait le </w:t>
      </w:r>
      <w:r>
        <w:rPr>
          <w:rStyle w:val="CharStyle25"/>
          <w:color w:val="303030"/>
          <w:sz w:val="20"/>
        </w:rPr>
        <w:t xml:space="preserve">SARS-CoV-2 </w:t>
      </w:r>
      <w:r>
        <w:rPr>
          <w:rStyle w:val="CharStyle25"/>
          <w:sz w:val="20"/>
        </w:rPr>
        <w:t xml:space="preserve">en </w:t>
      </w:r>
      <w:r>
        <w:rPr>
          <w:rStyle w:val="CharStyle25"/>
          <w:color w:val="303030"/>
          <w:sz w:val="20"/>
        </w:rPr>
        <w:t xml:space="preserve">sa possession avant décembre </w:t>
      </w:r>
      <w:r>
        <w:rPr>
          <w:rStyle w:val="CharStyle25"/>
          <w:sz w:val="20"/>
        </w:rPr>
        <w:t xml:space="preserve"> </w:t>
      </w:r>
      <w:r>
        <w:rPr>
          <w:rStyle w:val="CharStyle25"/>
          <w:color w:val="303030"/>
          <w:sz w:val="20"/>
        </w:rPr>
        <w:t xml:space="preserve">2019. </w:t>
      </w:r>
      <w:r>
        <w:rPr>
          <w:rStyle w:val="CharStyle25"/>
          <w:sz w:val="20"/>
        </w:rPr>
        <w:t xml:space="preserve">L'équipe </w:t>
      </w:r>
      <w:r>
        <w:rPr>
          <w:rStyle w:val="CharStyle25"/>
          <w:color w:val="303030"/>
          <w:sz w:val="20"/>
        </w:rPr>
        <w:t xml:space="preserve">d'inspection devrait avoir un accès complet pour examiner </w:t>
      </w:r>
      <w:r>
        <w:rPr>
          <w:rStyle w:val="CharStyle25"/>
          <w:sz w:val="20"/>
        </w:rPr>
        <w:t xml:space="preserve">les </w:t>
      </w:r>
      <w:r>
        <w:rPr>
          <w:rStyle w:val="CharStyle25"/>
          <w:color w:val="303030"/>
          <w:sz w:val="20"/>
        </w:rPr>
        <w:t xml:space="preserve">processus et la sécurité des </w:t>
      </w:r>
      <w:r>
        <w:rPr>
          <w:rStyle w:val="CharStyle25"/>
          <w:sz w:val="20"/>
        </w:rPr>
        <w:t xml:space="preserve">procédures de tous les </w:t>
      </w:r>
      <w:r>
        <w:rPr>
          <w:rStyle w:val="CharStyle25"/>
          <w:color w:val="303030"/>
          <w:sz w:val="20"/>
        </w:rPr>
        <w:t xml:space="preserve">travaux sur le terrain du VIT (y compris, mais </w:t>
      </w:r>
      <w:r>
        <w:rPr>
          <w:rStyle w:val="CharStyle25"/>
          <w:sz w:val="20"/>
        </w:rPr>
        <w:t xml:space="preserve">sans </w:t>
      </w:r>
      <w:r>
        <w:rPr>
          <w:rStyle w:val="CharStyle25"/>
          <w:color w:val="303030"/>
          <w:sz w:val="20"/>
        </w:rPr>
        <w:t xml:space="preserve">s'y limiter, </w:t>
      </w:r>
      <w:r>
        <w:rPr>
          <w:rStyle w:val="CharStyle25"/>
          <w:sz w:val="20"/>
        </w:rPr>
        <w:t xml:space="preserve">la collecte d'animaux </w:t>
      </w:r>
      <w:r>
        <w:rPr>
          <w:rStyle w:val="CharStyle25"/>
          <w:color w:val="303030"/>
          <w:sz w:val="20"/>
        </w:rPr>
        <w:t xml:space="preserve">et d'échantillons biologiques dans des grottes, des cavités souterraines artificielles abandonnées ou des sites extérieurs). L'équipe d'inspection pourrait </w:t>
      </w:r>
      <w:r>
        <w:rPr>
          <w:rStyle w:val="CharStyle25"/>
          <w:sz w:val="20"/>
        </w:rPr>
        <w:t xml:space="preserve">être </w:t>
      </w:r>
      <w:r>
        <w:rPr>
          <w:rStyle w:val="CharStyle25"/>
          <w:color w:val="303030"/>
          <w:sz w:val="20"/>
        </w:rPr>
        <w:t xml:space="preserve">organisée </w:t>
      </w:r>
      <w:r>
        <w:rPr>
          <w:rStyle w:val="CharStyle25"/>
          <w:sz w:val="20"/>
        </w:rPr>
        <w:t xml:space="preserve">par </w:t>
      </w:r>
      <w:r>
        <w:rPr>
          <w:rStyle w:val="CharStyle25"/>
          <w:color w:val="303030"/>
          <w:sz w:val="20"/>
        </w:rPr>
        <w:t xml:space="preserve">le NIAID ou, si elle le souhaite, </w:t>
      </w:r>
      <w:r>
        <w:rPr>
          <w:rStyle w:val="CharStyle25"/>
          <w:sz w:val="20"/>
        </w:rPr>
        <w:t xml:space="preserve">par </w:t>
      </w:r>
      <w:r>
        <w:rPr>
          <w:rStyle w:val="CharStyle25"/>
          <w:color w:val="303030"/>
          <w:sz w:val="20"/>
        </w:rPr>
        <w:t xml:space="preserve">l'Académie </w:t>
      </w:r>
      <w:r>
        <w:rPr>
          <w:rStyle w:val="CharStyle25"/>
          <w:sz w:val="20"/>
        </w:rPr>
        <w:t xml:space="preserve"> </w:t>
      </w:r>
      <w:r>
        <w:rPr>
          <w:rStyle w:val="CharStyle25"/>
          <w:color w:val="303030"/>
          <w:sz w:val="20"/>
        </w:rPr>
        <w:t xml:space="preserve">nationale des sciences des États-Unis.</w:t>
      </w:r>
    </w:p>
    <w:p>
      <w:pPr>
        <w:pStyle w:val="Style24"/>
        <w:keepNext w:val="0"/>
        <w:keepLines w:val="0"/>
        <w:widowControl w:val="0"/>
        <w:shd w:val="clear" w:color="auto" w:fill="auto"/>
        <w:spacing w:before="0" w:after="160" w:line="170" w:lineRule="auto"/>
        <w:ind w:left="940" w:right="0" w:firstLine="20"/>
        <w:jc w:val="left"/>
        <w:rPr>
          <w:sz w:val="20"/>
        </w:rPr>
      </w:pPr>
      <w:r>
        <w:rPr>
          <w:rStyle w:val="CharStyle25"/>
          <w:color w:val="303030"/>
          <w:sz w:val="20"/>
        </w:rPr>
        <w:t xml:space="preserve">La mission de l'OMS a fait exactement cela, et bien qu'il ne s'agisse pas d'une équipe du NIAID ou de l'Académie nationale des sciences des États-Unis, je suis membre de l'Académie nationale de médecine et président du Forum américain NASEM sur les menaces microbiennes. Les 11 experts internationaux membres de l'équipe de l'OMS comprenaient des autorités de premier plan sur l'épidémiologie, les infections virales d'origine animale et One Health. Les membres de cette équipe possèdent une vaste expérience dans la réalisation d'audits de laboratoire (par exemple, Peter Ben Embarek), la gestion de laboratoires traitant d'échantillons cliniques humains (par exemple, Dominic Dwyer, Thea Fischer) et la mise en service, la gestion et l'accréditation de laboratoires dans des pays étrangers (moi-même, Fabian Leendertz). Le rapport de l'étude conjointe OMS-Chine détaille </w:t>
      </w:r>
      <w:r>
        <w:rPr>
          <w:rStyle w:val="CharStyle25"/>
          <w:sz w:val="20"/>
        </w:rPr>
        <w:t xml:space="preserve">les </w:t>
      </w:r>
      <w:r>
        <w:rPr>
          <w:rStyle w:val="CharStyle25"/>
          <w:color w:val="303030"/>
          <w:sz w:val="20"/>
        </w:rPr>
        <w:t xml:space="preserve">visites sur le terrain dans plusieurs laboratoires de Wuhan, y compris le WIV, et résume nos conclusions.</w:t>
      </w:r>
    </w:p>
    <w:p>
      <w:pPr>
        <w:pStyle w:val="Style24"/>
        <w:keepNext w:val="0"/>
        <w:keepLines w:val="0"/>
        <w:widowControl w:val="0"/>
        <w:shd w:val="clear" w:color="auto" w:fill="auto"/>
        <w:spacing w:before="0" w:after="0" w:line="170" w:lineRule="auto"/>
        <w:ind w:left="940" w:right="0" w:firstLine="20"/>
        <w:jc w:val="left"/>
        <w:rPr>
          <w:sz w:val="20"/>
        </w:rPr>
      </w:pPr>
      <w:r>
        <w:rPr>
          <w:rStyle w:val="CharStyle25"/>
          <w:color w:val="303030"/>
          <w:sz w:val="20"/>
        </w:rPr>
        <w:t xml:space="preserve">De plus, après mon retour aux États-Unis, et dans les semaines précédant la publication du rapport, je:</w:t>
      </w:r>
    </w:p>
    <w:p>
      <w:pPr>
        <w:pStyle w:val="Style24"/>
        <w:keepNext w:val="0"/>
        <w:keepLines w:val="0"/>
        <w:widowControl w:val="0"/>
        <w:numPr>
          <w:ilvl w:val="0"/>
          <w:numId w:val="19"/>
        </w:numPr>
        <w:shd w:val="clear" w:color="auto" w:fill="auto"/>
        <w:tabs>
          <w:tab w:pos="1376" w:val="left"/>
        </w:tabs>
        <w:spacing w:before="0" w:after="0" w:line="170" w:lineRule="auto"/>
        <w:ind w:left="1160" w:right="0" w:firstLine="0"/>
        <w:jc w:val="left"/>
        <w:rPr>
          <w:sz w:val="20"/>
        </w:rPr>
      </w:pPr>
      <w:r>
        <w:rPr>
          <w:rStyle w:val="CharStyle25"/>
          <w:color w:val="303030"/>
          <w:sz w:val="20"/>
        </w:rPr>
        <w:t xml:space="preserve">J'ai briefé les Drs. Anthony Fauci et Clifford Lane du NIAID sur les conclusions de la mission;</w:t>
      </w:r>
    </w:p>
    <w:p>
      <w:pPr>
        <w:pStyle w:val="Style24"/>
        <w:keepNext w:val="0"/>
        <w:keepLines w:val="0"/>
        <w:widowControl w:val="0"/>
        <w:numPr>
          <w:ilvl w:val="0"/>
          <w:numId w:val="19"/>
        </w:numPr>
        <w:shd w:val="clear" w:color="auto" w:fill="auto"/>
        <w:tabs>
          <w:tab w:pos="1376" w:val="left"/>
        </w:tabs>
        <w:spacing w:before="0" w:after="0" w:line="170" w:lineRule="auto"/>
        <w:ind w:left="1160" w:right="0" w:firstLine="0"/>
        <w:jc w:val="left"/>
        <w:rPr>
          <w:sz w:val="20"/>
        </w:rPr>
      </w:pPr>
      <w:r>
        <w:rPr>
          <w:rStyle w:val="CharStyle25"/>
          <w:color w:val="303030"/>
          <w:sz w:val="20"/>
        </w:rPr>
        <w:t xml:space="preserve">Présenté un exposé complet sur le travail au groupe NIAID COVID PI qui se réunit chaque semaine</w:t>
      </w:r>
    </w:p>
    <w:p>
      <w:pPr>
        <w:pStyle w:val="Style24"/>
        <w:keepNext w:val="0"/>
        <w:keepLines w:val="0"/>
        <w:widowControl w:val="0"/>
        <w:numPr>
          <w:ilvl w:val="0"/>
          <w:numId w:val="19"/>
        </w:numPr>
        <w:shd w:val="clear" w:color="auto" w:fill="auto"/>
        <w:tabs>
          <w:tab w:pos="1376" w:val="left"/>
        </w:tabs>
        <w:spacing w:before="0" w:after="0" w:line="170" w:lineRule="auto"/>
        <w:ind w:left="1160" w:right="0" w:firstLine="0"/>
        <w:jc w:val="left"/>
        <w:rPr>
          <w:sz w:val="20"/>
        </w:rPr>
      </w:pPr>
      <w:r>
        <w:rPr>
          <w:rStyle w:val="CharStyle25"/>
          <w:color w:val="303030"/>
          <w:sz w:val="20"/>
        </w:rPr>
        <w:t xml:space="preserve">Exposé du FBI et d'autres membres du personnel de l'agence de renseignement</w:t>
      </w:r>
    </w:p>
    <w:p>
      <w:pPr>
        <w:pStyle w:val="Style24"/>
        <w:keepNext w:val="0"/>
        <w:keepLines w:val="0"/>
        <w:widowControl w:val="0"/>
        <w:numPr>
          <w:ilvl w:val="0"/>
          <w:numId w:val="19"/>
        </w:numPr>
        <w:shd w:val="clear" w:color="auto" w:fill="auto"/>
        <w:tabs>
          <w:tab w:pos="1376" w:val="left"/>
        </w:tabs>
        <w:spacing w:before="0" w:after="0" w:line="170" w:lineRule="auto"/>
        <w:ind w:left="1160" w:right="0" w:firstLine="0"/>
        <w:jc w:val="left"/>
        <w:rPr>
          <w:sz w:val="20"/>
        </w:rPr>
      </w:pPr>
      <w:r>
        <w:rPr>
          <w:rStyle w:val="CharStyle25"/>
          <w:color w:val="303030"/>
          <w:sz w:val="20"/>
        </w:rPr>
        <w:t xml:space="preserve">Réunion d'information avec les membres du Forum américain NASEM sur les menaces microbiennes</w:t>
      </w:r>
    </w:p>
    <w:p>
      <w:pPr>
        <w:pStyle w:val="Style24"/>
        <w:keepNext w:val="0"/>
        <w:keepLines w:val="0"/>
        <w:widowControl w:val="0"/>
        <w:numPr>
          <w:ilvl w:val="0"/>
          <w:numId w:val="19"/>
        </w:numPr>
        <w:shd w:val="clear" w:color="auto" w:fill="auto"/>
        <w:tabs>
          <w:tab w:pos="1376" w:val="left"/>
        </w:tabs>
        <w:spacing w:before="0" w:after="0" w:line="170" w:lineRule="auto"/>
        <w:ind w:left="1160" w:right="0" w:firstLine="0"/>
        <w:jc w:val="left"/>
        <w:rPr>
          <w:sz w:val="20"/>
        </w:rPr>
      </w:pPr>
      <w:r>
        <w:rPr>
          <w:rStyle w:val="CharStyle25"/>
          <w:color w:val="303030"/>
          <w:sz w:val="20"/>
        </w:rPr>
        <w:t xml:space="preserve">Exposé du personnel du Conseil de sécurité nationale de la Maison Blanche sur les conclusions de ce travail</w:t>
      </w:r>
    </w:p>
    <w:p>
      <w:pPr>
        <w:pStyle w:val="Style24"/>
        <w:keepNext w:val="0"/>
        <w:keepLines w:val="0"/>
        <w:widowControl w:val="0"/>
        <w:numPr>
          <w:ilvl w:val="0"/>
          <w:numId w:val="19"/>
        </w:numPr>
        <w:shd w:val="clear" w:color="auto" w:fill="auto"/>
        <w:tabs>
          <w:tab w:pos="1376" w:val="left"/>
        </w:tabs>
        <w:spacing w:before="0" w:after="160" w:line="170" w:lineRule="auto"/>
        <w:ind w:left="1160" w:right="0" w:firstLine="0"/>
        <w:jc w:val="left"/>
        <w:rPr>
          <w:sz w:val="20"/>
        </w:rPr>
      </w:pPr>
      <w:r>
        <w:rPr>
          <w:rStyle w:val="CharStyle25"/>
          <w:color w:val="303030"/>
          <w:sz w:val="20"/>
        </w:rPr>
        <w:t xml:space="preserve">Séance d'information à l'intention du personnel du Comité de la Chambre pour la science, l'espace et la technologie</w:t>
      </w:r>
    </w:p>
    <w:p>
      <w:pPr>
        <w:pStyle w:val="Style24"/>
        <w:keepNext w:val="0"/>
        <w:keepLines w:val="0"/>
        <w:widowControl w:val="0"/>
        <w:numPr>
          <w:ilvl w:val="0"/>
          <w:numId w:val="17"/>
        </w:numPr>
        <w:shd w:val="clear" w:color="auto" w:fill="auto"/>
        <w:tabs>
          <w:tab w:pos="1166" w:val="left"/>
        </w:tabs>
        <w:spacing w:before="0" w:after="0" w:line="168" w:lineRule="auto"/>
        <w:ind w:left="940" w:right="0" w:firstLine="20"/>
        <w:jc w:val="left"/>
        <w:rPr>
          <w:sz w:val="20"/>
        </w:rPr>
      </w:pPr>
      <w:r>
        <w:rPr>
          <w:rStyle w:val="CharStyle25"/>
          <w:color w:val="303030"/>
          <w:sz w:val="20"/>
        </w:rPr>
        <w:t xml:space="preserve">Enfin, EcoHealth Alliance doit </w:t>
      </w:r>
      <w:r>
        <w:rPr>
          <w:rStyle w:val="CharStyle25"/>
          <w:sz w:val="20"/>
        </w:rPr>
        <w:t xml:space="preserve">s'assurer </w:t>
      </w:r>
      <w:r>
        <w:rPr>
          <w:rStyle w:val="CharStyle25"/>
          <w:color w:val="303030"/>
          <w:sz w:val="20"/>
        </w:rPr>
        <w:t xml:space="preserve">que tous ses subawards sont entièrement </w:t>
      </w:r>
      <w:r>
        <w:rPr>
          <w:rStyle w:val="CharStyle25"/>
          <w:color w:val="303030"/>
          <w:sz w:val="20"/>
        </w:rPr>
        <w:t xml:space="preserve">déclarés </w:t>
      </w:r>
      <w:r>
        <w:rPr>
          <w:rStyle w:val="CharStyle25"/>
          <w:color w:val="303030"/>
          <w:sz w:val="20"/>
        </w:rPr>
        <w:t xml:space="preserve">dans le Système fédéral de déclaration des subawards. </w:t>
      </w:r>
    </w:p>
    <w:p>
      <w:pPr>
        <w:pStyle w:val="Style24"/>
        <w:keepNext w:val="0"/>
        <w:keepLines w:val="0"/>
        <w:widowControl w:val="0"/>
        <w:shd w:val="clear" w:color="auto" w:fill="auto"/>
        <w:spacing w:before="0" w:after="160" w:line="168" w:lineRule="auto"/>
        <w:ind w:left="940" w:right="0" w:firstLine="20"/>
        <w:jc w:val="left"/>
        <w:rPr>
          <w:sz w:val="20"/>
        </w:rPr>
      </w:pPr>
      <w:r>
        <w:rPr>
          <w:rStyle w:val="CharStyle25"/>
          <w:color w:val="303030"/>
          <w:sz w:val="20"/>
        </w:rPr>
        <w:t xml:space="preserve">Cela a été fait et tous les subawards ont fait l’objet d’un rapport complet dès que nous avons pu:</w:t>
      </w:r>
      <w:r>
        <w:rPr>
          <w:rStyle w:val="CharStyle25"/>
          <w:color w:val="303030"/>
          <w:sz w:val="20"/>
        </w:rPr>
        <w:t xml:space="preserve"> une fois que vous nous avez notifié cette exigence </w:t>
      </w:r>
      <w:r>
        <w:rPr>
          <w:rStyle w:val="CharStyle25"/>
          <w:color w:val="656361"/>
          <w:sz w:val="20"/>
        </w:rPr>
        <w:t xml:space="preserve">dans </w:t>
      </w:r>
      <w:r>
        <w:rPr>
          <w:rStyle w:val="CharStyle25"/>
          <w:color w:val="303030"/>
          <w:sz w:val="20"/>
        </w:rPr>
        <w:t xml:space="preserve">votre lettre du 7 août 2020.</w:t>
      </w:r>
    </w:p>
    <w:p>
      <w:pPr>
        <w:pStyle w:val="Style24"/>
        <w:keepNext w:val="0"/>
        <w:keepLines w:val="0"/>
        <w:widowControl w:val="0"/>
        <w:numPr>
          <w:ilvl w:val="0"/>
          <w:numId w:val="17"/>
        </w:numPr>
        <w:shd w:val="clear" w:color="auto" w:fill="auto"/>
        <w:tabs>
          <w:tab w:pos="1166" w:val="left"/>
        </w:tabs>
        <w:spacing w:before="0" w:after="360" w:line="170" w:lineRule="auto"/>
        <w:ind w:left="940" w:right="0" w:firstLine="20"/>
        <w:jc w:val="left"/>
        <w:rPr>
          <w:sz w:val="20"/>
        </w:rPr>
      </w:pPr>
      <w:r>
        <w:rPr>
          <w:rStyle w:val="CharStyle25"/>
          <w:color w:val="303030"/>
          <w:sz w:val="20"/>
        </w:rPr>
        <w:t xml:space="preserve">Fournir des copies de </w:t>
      </w:r>
      <w:r>
        <w:rPr>
          <w:rStyle w:val="CharStyle25"/>
          <w:sz w:val="20"/>
        </w:rPr>
        <w:t xml:space="preserve">tous les </w:t>
      </w:r>
      <w:r>
        <w:rPr>
          <w:rStyle w:val="CharStyle25"/>
          <w:color w:val="303030"/>
          <w:sz w:val="20"/>
        </w:rPr>
        <w:t xml:space="preserve">accords </w:t>
      </w:r>
      <w:r>
        <w:rPr>
          <w:rStyle w:val="CharStyle25"/>
          <w:color w:val="303030"/>
          <w:sz w:val="20"/>
        </w:rPr>
        <w:t xml:space="preserve">de sous-bénéficiaires d'EcoHealth </w:t>
      </w:r>
      <w:r>
        <w:rPr>
          <w:rStyle w:val="CharStyle25"/>
          <w:color w:val="303030"/>
          <w:sz w:val="20"/>
        </w:rPr>
        <w:t xml:space="preserve">Alliance - </w:t>
      </w:r>
      <w:r>
        <w:rPr>
          <w:rStyle w:val="CharStyle25"/>
          <w:sz w:val="20"/>
        </w:rPr>
        <w:t xml:space="preserve">WIV </w:t>
      </w:r>
      <w:r>
        <w:rPr>
          <w:rStyle w:val="CharStyle25"/>
          <w:color w:val="303030"/>
          <w:sz w:val="20"/>
        </w:rPr>
        <w:t xml:space="preserve">ainsi que tout </w:t>
      </w:r>
      <w:r>
        <w:rPr>
          <w:rStyle w:val="CharStyle25"/>
          <w:sz w:val="20"/>
        </w:rPr>
        <w:t xml:space="preserve">autre document et information </w:t>
      </w:r>
      <w:r>
        <w:rPr>
          <w:rStyle w:val="CharStyle25"/>
          <w:color w:val="303030"/>
          <w:sz w:val="20"/>
        </w:rPr>
        <w:t xml:space="preserve">décrivant </w:t>
      </w:r>
      <w:r>
        <w:rPr>
          <w:rStyle w:val="CharStyle25"/>
          <w:sz w:val="20"/>
        </w:rPr>
        <w:t xml:space="preserve">la façon dont </w:t>
      </w:r>
      <w:r>
        <w:rPr>
          <w:rStyle w:val="CharStyle25"/>
          <w:color w:val="303030"/>
          <w:sz w:val="20"/>
        </w:rPr>
        <w:t xml:space="preserve">EcoHealth </w:t>
      </w:r>
      <w:r>
        <w:rPr>
          <w:rStyle w:val="CharStyle25"/>
          <w:sz w:val="20"/>
        </w:rPr>
        <w:t xml:space="preserve">Alliance a surveillé la </w:t>
      </w:r>
      <w:r>
        <w:rPr>
          <w:rStyle w:val="CharStyle25"/>
          <w:color w:val="303030"/>
          <w:sz w:val="20"/>
        </w:rPr>
        <w:t xml:space="preserve">conformité </w:t>
      </w:r>
      <w:r>
        <w:rPr>
          <w:rStyle w:val="CharStyle25"/>
          <w:color w:val="303030"/>
          <w:sz w:val="20"/>
        </w:rPr>
        <w:t xml:space="preserve">de WIV </w:t>
      </w:r>
      <w:r>
        <w:rPr>
          <w:rStyle w:val="CharStyle25"/>
          <w:color w:val="303030"/>
          <w:sz w:val="20"/>
        </w:rPr>
        <w:t xml:space="preserve"> </w:t>
      </w:r>
      <w:r>
        <w:rPr>
          <w:rStyle w:val="CharStyle25"/>
          <w:color w:val="303030"/>
          <w:sz w:val="20"/>
        </w:rPr>
        <w:t xml:space="preserve">avec </w:t>
      </w:r>
      <w:r>
        <w:rPr>
          <w:rStyle w:val="CharStyle25"/>
          <w:color w:val="303030"/>
          <w:sz w:val="20"/>
        </w:rPr>
        <w:t xml:space="preserve">les termes et conditions d'attribution, y compris </w:t>
      </w:r>
      <w:r>
        <w:rPr>
          <w:rStyle w:val="CharStyle25"/>
          <w:sz w:val="20"/>
        </w:rPr>
        <w:t xml:space="preserve">en </w:t>
      </w:r>
      <w:r>
        <w:rPr>
          <w:rStyle w:val="CharStyle25"/>
          <w:color w:val="303030"/>
          <w:sz w:val="20"/>
        </w:rPr>
        <w:t xml:space="preserve">ce qui concerne la biosécurité.</w:t>
      </w:r>
    </w:p>
    <w:p>
      <w:pPr>
        <w:pStyle w:val="Style18"/>
        <w:keepNext w:val="0"/>
        <w:keepLines w:val="0"/>
        <w:widowControl w:val="0"/>
        <w:shd w:val="clear" w:color="auto" w:fill="auto"/>
        <w:spacing w:before="0" w:after="0" w:line="314" w:lineRule="auto"/>
        <w:ind w:left="0" w:right="0" w:firstLine="840"/>
        <w:jc w:val="left"/>
        <w:rPr>
          <w:sz w:val="8"/>
        </w:rPr>
      </w:pPr>
      <w:r>
        <w:rPr>
          <w:rStyle w:val="CharStyle19"/>
          <w:rFonts w:ascii="Arial" w:hAnsi="Arial" w:cs="Arial" w:eastAsia="Arial"/>
          <w:b/>
          <w:color w:val="A0A1A1"/>
          <w:sz w:val="8"/>
        </w:rPr>
        <w:t xml:space="preserve">Alliance pour l'écosanté</w:t>
      </w:r>
    </w:p>
    <w:p>
      <w:pPr>
        <w:pStyle w:val="Style18"/>
        <w:keepNext w:val="0"/>
        <w:keepLines w:val="0"/>
        <w:widowControl w:val="0"/>
        <w:shd w:val="clear" w:color="auto" w:fill="auto"/>
        <w:spacing w:before="0" w:after="0" w:line="314" w:lineRule="auto"/>
        <w:ind w:left="840" w:right="0" w:firstLine="0"/>
        <w:jc w:val="left"/>
        <w:rPr>
          <w:sz w:val="8"/>
        </w:rPr>
      </w:pPr>
      <w:r>
        <w:rPr>
          <w:rStyle w:val="CharStyle19"/>
          <w:rFonts w:ascii="Arial" w:hAnsi="Arial" w:cs="Arial" w:eastAsia="Arial"/>
          <w:b/>
          <w:color w:val="A0A1A1"/>
          <w:sz w:val="8"/>
        </w:rPr>
        <w:t xml:space="preserve">530 ElqhthAvenue, Suite 1200 New York, NY 1001B</w:t>
      </w:r>
    </w:p>
    <w:p>
      <w:pPr>
        <w:pStyle w:val="Style18"/>
        <w:keepNext w:val="0"/>
        <w:keepLines w:val="0"/>
        <w:widowControl w:val="0"/>
        <w:shd w:val="clear" w:color="auto" w:fill="auto"/>
        <w:spacing w:before="0" w:after="0" w:line="314" w:lineRule="auto"/>
        <w:ind w:left="0" w:right="0" w:firstLine="840"/>
        <w:jc w:val="left"/>
        <w:rPr>
          <w:sz w:val="8"/>
        </w:rPr>
      </w:pPr>
      <w:r>
        <w:rPr>
          <w:rStyle w:val="CharStyle19"/>
          <w:rFonts w:ascii="Arial" w:hAnsi="Arial" w:cs="Arial" w:eastAsia="Arial"/>
          <w:b/>
          <w:color w:val="A0A1A1"/>
          <w:sz w:val="8"/>
        </w:rPr>
        <w:t>212.380.4460</w:t>
      </w:r>
    </w:p>
    <w:p>
      <w:pPr>
        <w:pStyle w:val="Style18"/>
        <w:keepNext w:val="0"/>
        <w:keepLines w:val="0"/>
        <w:widowControl w:val="0"/>
        <w:shd w:val="clear" w:color="auto" w:fill="auto"/>
        <w:spacing w:before="0" w:after="80" w:line="314" w:lineRule="auto"/>
        <w:ind w:left="0" w:right="0" w:firstLine="840"/>
        <w:jc w:val="left"/>
        <w:rPr>
          <w:sz w:val="8"/>
        </w:rPr>
        <w:sectPr>
          <w:footerReference w:type="default" r:id="rId110"/>
          <w:footerReference w:type="first" r:id="rId111"/>
          <w:footnotePr>
            <w:pos w:val="pageBottom"/>
            <w:numFmt w:val="decimal"/>
            <w:numStart w:val="1455"/>
            <w:numRestart w:val="continuous"/>
            <w15:footnoteColumns w:val="1"/>
          </w:footnotePr>
          <w:pgSz w:w="12485" w:h="16357"/>
          <w:pgMar w:top="4311" w:right="1423" w:bottom="3829" w:left="1418" w:header="0" w:footer="3" w:gutter="0"/>
          <w:cols w:space="720"/>
          <w:noEndnote/>
          <w:titlePg/>
          <w:rtlGutter w:val="0"/>
          <w:docGrid w:linePitch="360"/>
        </w:sectPr>
      </w:pPr>
      <w:r>
        <w:rPr>
          <w:rStyle w:val="CharStyle19"/>
          <w:rFonts w:ascii="Arial" w:hAnsi="Arial" w:cs="Arial" w:eastAsia="Arial"/>
          <w:b/>
          <w:color w:val="A0A1A1"/>
          <w:sz w:val="8"/>
        </w:rPr>
        <w:t>ÉcosantéAlhance.org</w:t>
      </w:r>
    </w:p>
    <w:p>
      <w:pPr>
        <w:pStyle w:val="Style24"/>
        <w:keepNext w:val="0"/>
        <w:keepLines w:val="0"/>
        <w:widowControl w:val="0"/>
        <w:shd w:val="clear" w:color="auto" w:fill="auto"/>
        <w:spacing w:before="0" w:after="140" w:line="170" w:lineRule="auto"/>
        <w:ind w:left="960" w:right="0" w:firstLine="0"/>
        <w:jc w:val="left"/>
        <w:rPr>
          <w:sz w:val="20"/>
        </w:rPr>
      </w:pPr>
      <w:r>
        <mc:AlternateContent>
          <mc:Choice Requires="wps">
            <w:drawing>
              <wp:anchor distT="0" distB="0" distL="114300" distR="114300" simplePos="0" relativeHeight="125829471" behindDoc="0" locked="0" layoutInCell="1" allowOverlap="1">
                <wp:simplePos x="0" y="0"/>
                <wp:positionH relativeFrom="page">
                  <wp:posOffset>5207635</wp:posOffset>
                </wp:positionH>
                <wp:positionV relativeFrom="paragraph">
                  <wp:posOffset>749300</wp:posOffset>
                </wp:positionV>
                <wp:extent cx="1530350" cy="100330"/>
                <wp:wrapSquare wrapText="left"/>
                <wp:docPr id="213" name="Forme 213"/>
                <a:graphic xmlns:a="http://schemas.openxmlformats.org/drawingml/2006/main">
                  <a:graphicData uri="http://schemas.microsoft.com/office/word/2010/wordprocessingShape">
                    <wps:wsp>
                      <wps:cNvSpPr txBox="1"/>
                      <wps:spPr>
                        <a:xfrm>
                          <a:ext cx="1530350" cy="100330"/>
                        </a:xfrm>
                        <a:prstGeom prst="rect"/>
                        <a:noFill/>
                      </wps:spPr>
                      <wps:txbx>
                        <w:txbxContent>
                          <w:p>
                            <w:pPr>
                              <w:pStyle w:val="Style18"/>
                              <w:keepNext w:val="0"/>
                              <w:keepLines w:val="0"/>
                              <w:widowControl w:val="0"/>
                              <w:shd w:val="clear" w:color="auto" w:fill="auto"/>
                              <w:tabs>
                                <w:tab w:pos="1022" w:val="left"/>
                              </w:tabs>
                              <w:spacing w:before="0" w:after="0" w:line="240" w:lineRule="auto"/>
                              <w:ind w:left="0" w:right="0" w:firstLine="0"/>
                              <w:jc w:val="left"/>
                              <w:rPr>
                                <w:sz w:val="8"/>
                              </w:rPr>
                            </w:pPr>
                            <w:r>
                              <w:rPr>
                                <w:rStyle w:val="CharStyle19"/>
                                <w:rFonts w:ascii="Arial" w:hAnsi="Arial" w:cs="Arial" w:eastAsia="Arial"/>
                                <w:b/>
                                <w:sz w:val="9"/>
                              </w:rPr>
                              <w:t xml:space="preserve">Commenté </w:t>
                            </w:r>
                            <w:r>
                              <w:rPr>
                                <w:rStyle w:val="CharStyle19"/>
                                <w:rFonts w:ascii="Arial" w:hAnsi="Arial" w:cs="Arial" w:eastAsia="Arial"/>
                                <w:b/>
                                <w:color w:val="464648"/>
                                <w:sz w:val="8"/>
                              </w:rPr>
                              <w:t xml:space="preserve">Peter, faut-il nommer ces personnes?</w:t>
                            </w:r>
                          </w:p>
                        </w:txbxContent>
                      </wps:txbx>
                      <wps:bodyPr wrap="none" lIns="0" tIns="0" rIns="0" bIns="0">
                        <a:noAutoFit/>
                      </wps:bodyPr>
                    </wps:wsp>
                  </a:graphicData>
                </a:graphic>
              </wp:anchor>
            </w:drawing>
          </mc:Choice>
        </mc:AlternateContent>
      </w:r>
      <w:r>
        <w:rPr>
          <w:rStyle w:val="CharStyle25"/>
          <w:color w:val="303030"/>
          <w:sz w:val="20"/>
        </w:rPr>
        <w:t xml:space="preserve">Toutes les ententes avec les sous-bénéficiaires sont jointes en annexe. Comme nous l’avons </w:t>
      </w:r>
      <w:r>
        <w:rPr>
          <w:rStyle w:val="CharStyle25"/>
          <w:color w:val="739BB0"/>
          <w:sz w:val="20"/>
          <w:u w:val="single"/>
        </w:rPr>
        <w:t>indiqué</w:t>
      </w:r>
      <w:r>
        <w:rPr>
          <w:rStyle w:val="CharStyle25"/>
          <w:color w:val="739BB0"/>
          <w:sz w:val="20"/>
        </w:rPr>
        <w:t>en</w:t>
      </w:r>
      <w:r>
        <w:rPr>
          <w:rStyle w:val="CharStyle25"/>
          <w:color w:val="739BB0"/>
          <w:sz w:val="20"/>
        </w:rPr>
        <w:t xml:space="preserve"> </w:t>
      </w:r>
      <w:r>
        <w:rPr>
          <w:rStyle w:val="CharStyle25"/>
          <w:color w:val="303030"/>
          <w:sz w:val="20"/>
        </w:rPr>
        <w:t xml:space="preserve">réponse </w:t>
      </w:r>
      <w:r>
        <w:rPr>
          <w:rStyle w:val="CharStyle25"/>
          <w:sz w:val="20"/>
        </w:rPr>
        <w:t xml:space="preserve">à </w:t>
      </w:r>
      <w:r>
        <w:rPr>
          <w:rStyle w:val="CharStyle25"/>
          <w:color w:val="303030"/>
          <w:sz w:val="20"/>
        </w:rPr>
        <w:t xml:space="preserve">votre lettre du </w:t>
      </w:r>
      <w:r>
        <w:rPr>
          <w:rStyle w:val="CharStyle25"/>
          <w:color w:val="464648"/>
          <w:sz w:val="20"/>
        </w:rPr>
        <w:t xml:space="preserve">19/04/2020, </w:t>
      </w:r>
      <w:r>
        <w:rPr>
          <w:rStyle w:val="CharStyle25"/>
          <w:color w:val="739BB0"/>
          <w:sz w:val="20"/>
        </w:rPr>
        <w:t xml:space="preserve">wh.Lc.h4h-: </w:t>
      </w:r>
      <w:r>
        <w:rPr>
          <w:rStyle w:val="CharStyle25"/>
          <w:color w:val="303030"/>
          <w:sz w:val="20"/>
        </w:rPr>
        <w:t xml:space="preserve">Nous avons</w:t>
      </w:r>
      <w:r>
        <w:rPr>
          <w:rStyle w:val="CharStyle25"/>
          <w:color w:val="739BB0"/>
          <w:sz w:val="20"/>
        </w:rPr>
        <w:t xml:space="preserve">demandé de suspendre le travail avec WIV, nous n'avions pas encore mis </w:t>
      </w:r>
      <w:r>
        <w:rPr>
          <w:rStyle w:val="CharStyle25"/>
          <w:color w:val="464648"/>
          <w:sz w:val="20"/>
        </w:rPr>
        <w:t xml:space="preserve">en place </w:t>
      </w:r>
      <w:r>
        <w:rPr>
          <w:rStyle w:val="CharStyle25"/>
          <w:color w:val="303030"/>
          <w:sz w:val="20"/>
        </w:rPr>
        <w:t xml:space="preserve">un contrat de sous-traitance avec WIV pour </w:t>
      </w:r>
      <w:r>
        <w:rPr>
          <w:rStyle w:val="CharStyle25"/>
          <w:sz w:val="20"/>
        </w:rPr>
        <w:t>la</w:t>
      </w:r>
      <w:r>
        <w:rPr>
          <w:rStyle w:val="CharStyle25"/>
          <w:color w:val="464648"/>
          <w:sz w:val="20"/>
        </w:rPr>
        <w:t xml:space="preserve">période </w:t>
      </w:r>
      <w:r>
        <w:rPr>
          <w:rStyle w:val="CharStyle25"/>
          <w:color w:val="303030"/>
          <w:sz w:val="20"/>
        </w:rPr>
        <w:t xml:space="preserve">de l'attribution. Notre plan était de surveiller la conformité de WIV comme nous </w:t>
      </w:r>
      <w:r>
        <w:rPr>
          <w:rStyle w:val="CharStyle25"/>
          <w:color w:val="303030"/>
          <w:sz w:val="20"/>
        </w:rPr>
        <w:t xml:space="preserve">l'avions </w:t>
      </w:r>
      <w:r>
        <w:rPr>
          <w:rStyle w:val="CharStyle25"/>
          <w:color w:val="464648"/>
          <w:sz w:val="20"/>
        </w:rPr>
        <w:t xml:space="preserve">fait </w:t>
      </w:r>
      <w:r>
        <w:rPr>
          <w:rStyle w:val="CharStyle25"/>
          <w:color w:val="303030"/>
          <w:sz w:val="20"/>
        </w:rPr>
        <w:t xml:space="preserve">au cours des cinq années précédentes, au moyen de réunions semestrielles avec l'enquêteur principal </w:t>
      </w:r>
      <w:r>
        <w:rPr>
          <w:rStyle w:val="CharStyle25"/>
          <w:color w:val="464648"/>
          <w:sz w:val="20"/>
        </w:rPr>
        <w:t xml:space="preserve">et </w:t>
      </w:r>
      <w:r>
        <w:rPr>
          <w:rStyle w:val="CharStyle25"/>
          <w:color w:val="303030"/>
          <w:sz w:val="20"/>
        </w:rPr>
        <w:t xml:space="preserve">d'évaluations de la conformité à </w:t>
      </w:r>
      <w:r>
        <w:rPr>
          <w:rStyle w:val="CharStyle25"/>
          <w:color w:val="464648"/>
          <w:sz w:val="20"/>
        </w:rPr>
        <w:t xml:space="preserve">toutes les </w:t>
      </w:r>
      <w:r>
        <w:rPr>
          <w:rStyle w:val="CharStyle25"/>
          <w:color w:val="303030"/>
          <w:sz w:val="20"/>
        </w:rPr>
        <w:t xml:space="preserve">conditions de l'attribution. De plus, après la</w:t>
      </w:r>
      <w:r>
        <w:rPr>
          <w:rStyle w:val="CharStyle25"/>
          <w:color w:val="303030"/>
          <w:sz w:val="20"/>
        </w:rPr>
        <w:t xml:space="preserve">résiliation du </w:t>
      </w:r>
      <w:r>
        <w:rPr>
          <w:rStyle w:val="CharStyle25"/>
          <w:color w:val="464648"/>
          <w:sz w:val="20"/>
        </w:rPr>
        <w:t xml:space="preserve">NIH, </w:t>
      </w:r>
      <w:r>
        <w:rPr>
          <w:rStyle w:val="CharStyle25"/>
          <w:color w:val="303030"/>
          <w:sz w:val="20"/>
        </w:rPr>
        <w:t xml:space="preserve">puis la réintégration et la suspension de notre financement, nous avons passé</w:t>
      </w:r>
      <w:r>
        <w:rPr>
          <w:rStyle w:val="CharStyle25"/>
          <w:color w:val="464648"/>
          <w:sz w:val="20"/>
        </w:rPr>
        <w:t xml:space="preserve">un contrat avec </w:t>
      </w:r>
      <w:r>
        <w:rPr>
          <w:rStyle w:val="CharStyle25"/>
          <w:color w:val="303030"/>
          <w:sz w:val="20"/>
        </w:rPr>
        <w:t xml:space="preserve">un </w:t>
      </w:r>
      <w:r>
        <w:rPr>
          <w:rStyle w:val="CharStyle25"/>
          <w:color w:val="303030"/>
          <w:sz w:val="20"/>
        </w:rPr>
        <w:t>consultant</w:t>
      </w:r>
      <w:r>
        <w:rPr>
          <w:rStyle w:val="CharStyle25"/>
          <w:color w:val="464648"/>
          <w:sz w:val="20"/>
        </w:rPr>
        <w:t xml:space="preserve">en biosécurité de laboratoire bien connu basé </w:t>
      </w:r>
      <w:r>
        <w:rPr>
          <w:rStyle w:val="CharStyle25"/>
          <w:color w:val="303030"/>
          <w:sz w:val="20"/>
        </w:rPr>
        <w:t>en</w:t>
      </w:r>
      <w:r>
        <w:rPr>
          <w:rStyle w:val="CharStyle25"/>
          <w:color w:val="303030"/>
          <w:sz w:val="20"/>
        </w:rPr>
        <w:t xml:space="preserve">Asie du Sud-Est qui possède une vaste expérience dans </w:t>
      </w:r>
      <w:r>
        <w:rPr>
          <w:rStyle w:val="CharStyle25"/>
          <w:color w:val="303030"/>
          <w:sz w:val="20"/>
        </w:rPr>
        <w:t xml:space="preserve">la mise en service, l'accréditation et l'audit de laboratoires BSL-2, &amp; -3, et </w:t>
      </w:r>
      <w:r>
        <w:rPr>
          <w:rStyle w:val="CharStyle25"/>
          <w:color w:val="464648"/>
          <w:sz w:val="20"/>
        </w:rPr>
        <w:t xml:space="preserve">a </w:t>
      </w:r>
      <w:r>
        <w:rPr>
          <w:rStyle w:val="CharStyle25"/>
          <w:color w:val="303030"/>
          <w:sz w:val="20"/>
        </w:rPr>
        <w:t xml:space="preserve">travaillé pendant plus d'une décennie au BSt-4 Australian Animal Health Lab. Nous utiliserons leurs services pour tous les sous-traitants de laboratoire étrangers afin d'évaluer les procédures de biosécurité en laboratoire et de mener des audits. Enfin, nous avons embauché un vétérinaire principal sur le terrain pour superviser tous les travaux sur le terrain de l'Alliance EcoHealth dans la région et assurer le respect de la biosécurité lors de la capture, de l'échantillonnage et de la manipulation des échantillons d'animaux. Nous l'avons fait aux frais d'EcoHealth Alliance, pour anticiper les appels à de nouvelles sanctions contre notre travail étant donné les attaques quotidiennes continues contre EcoHealth Alliance dans la </w:t>
      </w:r>
      <w:r>
        <w:rPr>
          <w:rStyle w:val="CharStyle25"/>
          <w:color w:val="464648"/>
          <w:sz w:val="20"/>
        </w:rPr>
        <w:t xml:space="preserve">presse </w:t>
      </w:r>
      <w:r>
        <w:rPr>
          <w:rStyle w:val="CharStyle25"/>
          <w:color w:val="303030"/>
          <w:sz w:val="20"/>
        </w:rPr>
        <w:t xml:space="preserve">après la résiliation de notre subvention NIH.</w:t>
      </w:r>
    </w:p>
    <w:p>
      <w:pPr>
        <w:pStyle w:val="Style24"/>
        <w:keepNext w:val="0"/>
        <w:keepLines w:val="0"/>
        <w:widowControl w:val="0"/>
        <w:numPr>
          <w:ilvl w:val="0"/>
          <w:numId w:val="17"/>
        </w:numPr>
        <w:shd w:val="clear" w:color="auto" w:fill="auto"/>
        <w:tabs>
          <w:tab w:pos="1186" w:val="left"/>
        </w:tabs>
        <w:spacing w:before="0" w:after="0" w:line="173" w:lineRule="auto"/>
        <w:ind w:left="960" w:right="0" w:firstLine="0"/>
        <w:jc w:val="left"/>
        <w:rPr>
          <w:sz w:val="20"/>
        </w:rPr>
      </w:pPr>
      <w:r>
        <w:rPr>
          <w:rStyle w:val="CharStyle25"/>
          <w:color w:val="303030"/>
          <w:sz w:val="20"/>
        </w:rPr>
        <w:t xml:space="preserve">Décrivez </w:t>
      </w:r>
      <w:r>
        <w:rPr>
          <w:rStyle w:val="CharStyle25"/>
          <w:sz w:val="20"/>
        </w:rPr>
        <w:t xml:space="preserve">les efforts d'EcoHealth </w:t>
      </w:r>
      <w:r>
        <w:rPr>
          <w:rStyle w:val="CharStyle25"/>
          <w:color w:val="303030"/>
          <w:sz w:val="20"/>
        </w:rPr>
        <w:t xml:space="preserve">pour évaluer </w:t>
      </w:r>
      <w:r>
        <w:rPr>
          <w:rStyle w:val="CharStyle25"/>
          <w:sz w:val="20"/>
        </w:rPr>
        <w:t xml:space="preserve">le </w:t>
      </w:r>
      <w:r>
        <w:rPr>
          <w:rStyle w:val="CharStyle25"/>
          <w:color w:val="303030"/>
          <w:sz w:val="20"/>
        </w:rPr>
        <w:t xml:space="preserve">risque de non-conformité de WIV aux </w:t>
      </w:r>
      <w:r>
        <w:rPr>
          <w:rStyle w:val="CharStyle25"/>
          <w:sz w:val="20"/>
        </w:rPr>
        <w:t xml:space="preserve"> </w:t>
      </w:r>
      <w:r>
        <w:rPr>
          <w:rStyle w:val="CharStyle25"/>
          <w:color w:val="303030"/>
          <w:sz w:val="20"/>
        </w:rPr>
        <w:t xml:space="preserve">lois et règlements fédéraux, ainsi qu'aux modalités du </w:t>
      </w:r>
      <w:r>
        <w:rPr>
          <w:rStyle w:val="CharStyle25"/>
          <w:sz w:val="20"/>
        </w:rPr>
        <w:t xml:space="preserve"> </w:t>
      </w:r>
      <w:r>
        <w:rPr>
          <w:rStyle w:val="CharStyle25"/>
          <w:color w:val="303030"/>
          <w:sz w:val="20"/>
        </w:rPr>
        <w:t xml:space="preserve">subaward. </w:t>
      </w:r>
    </w:p>
    <w:p>
      <w:pPr>
        <w:pStyle w:val="Style24"/>
        <w:keepNext w:val="0"/>
        <w:keepLines w:val="0"/>
        <w:widowControl w:val="0"/>
        <w:shd w:val="clear" w:color="auto" w:fill="auto"/>
        <w:spacing w:before="0" w:after="140" w:line="173" w:lineRule="auto"/>
        <w:ind w:left="960" w:right="0" w:firstLine="0"/>
        <w:jc w:val="left"/>
        <w:rPr>
          <w:sz w:val="20"/>
        </w:rPr>
      </w:pPr>
      <w:r>
        <w:rPr>
          <w:rStyle w:val="CharStyle25"/>
          <w:color w:val="303030"/>
          <w:sz w:val="20"/>
        </w:rPr>
        <w:t xml:space="preserve">Au cours d'une période de collaboration de 15 ans avec WIV, nous n'avons trouvé aucune preuve suggérant qu'il y avait un </w:t>
      </w:r>
      <w:r>
        <w:rPr>
          <w:rStyle w:val="CharStyle25"/>
          <w:color w:val="464648"/>
          <w:sz w:val="20"/>
        </w:rPr>
        <w:t xml:space="preserve">élément </w:t>
      </w:r>
      <w:r>
        <w:rPr>
          <w:rStyle w:val="CharStyle25"/>
          <w:color w:val="303030"/>
          <w:sz w:val="20"/>
        </w:rPr>
        <w:t xml:space="preserve">de non-respect de l'une des conditions des subventions dans lesquelles nous avons travaillé ensemble. Nous avons estimé que ce laboratoire présentait un risque extrêmement faible, et nous continuons à</w:t>
      </w:r>
      <w:r>
        <w:rPr>
          <w:rStyle w:val="CharStyle25"/>
          <w:color w:val="739BB0"/>
          <w:sz w:val="20"/>
        </w:rPr>
        <w:t xml:space="preserve">le </w:t>
      </w:r>
      <w:r>
        <w:rPr>
          <w:rStyle w:val="CharStyle25"/>
          <w:color w:val="303030"/>
          <w:sz w:val="20"/>
        </w:rPr>
        <w:t xml:space="preserve"> </w:t>
      </w:r>
      <w:r>
        <w:rPr>
          <w:rStyle w:val="CharStyle25"/>
          <w:color w:val="739BB0"/>
          <w:sz w:val="20"/>
          <w:u w:val="single"/>
        </w:rPr>
        <w:t>croire.</w:t>
      </w:r>
    </w:p>
    <w:p>
      <w:pPr>
        <w:pStyle w:val="Style24"/>
        <w:keepNext w:val="0"/>
        <w:keepLines w:val="0"/>
        <w:widowControl w:val="0"/>
        <w:numPr>
          <w:ilvl w:val="0"/>
          <w:numId w:val="17"/>
        </w:numPr>
        <w:shd w:val="clear" w:color="auto" w:fill="auto"/>
        <w:tabs>
          <w:tab w:pos="1244" w:val="left"/>
        </w:tabs>
        <w:spacing w:before="0" w:after="0" w:line="170" w:lineRule="auto"/>
        <w:ind w:left="960" w:right="0" w:firstLine="0"/>
        <w:jc w:val="left"/>
        <w:rPr>
          <w:sz w:val="20"/>
        </w:rPr>
      </w:pPr>
      <w:r>
        <w:rPr>
          <w:rStyle w:val="CharStyle25"/>
          <w:sz w:val="20"/>
        </w:rPr>
        <w:t xml:space="preserve">Fournir des copies de tous les rapports de biosécurité du </w:t>
      </w:r>
      <w:r>
        <w:rPr>
          <w:rStyle w:val="CharStyle25"/>
          <w:color w:val="303030"/>
          <w:sz w:val="20"/>
        </w:rPr>
        <w:t xml:space="preserve">VVI </w:t>
      </w:r>
      <w:r>
        <w:rPr>
          <w:rStyle w:val="CharStyle25"/>
          <w:sz w:val="20"/>
        </w:rPr>
        <w:t xml:space="preserve">du 1er juin 2014 au 31 mai 2019.</w:t>
      </w:r>
    </w:p>
    <w:p>
      <w:pPr>
        <w:pStyle w:val="Style24"/>
        <w:keepNext w:val="0"/>
        <w:keepLines w:val="0"/>
        <w:widowControl w:val="0"/>
        <w:shd w:val="clear" w:color="auto" w:fill="auto"/>
        <w:spacing w:before="0" w:after="600" w:line="170" w:lineRule="auto"/>
        <w:ind w:left="960" w:right="0" w:firstLine="0"/>
        <w:jc w:val="left"/>
        <w:rPr>
          <w:sz w:val="20"/>
        </w:rPr>
      </w:pPr>
      <w:r>
        <w:rPr>
          <w:rStyle w:val="CharStyle25"/>
          <w:color w:val="303030"/>
          <w:sz w:val="20"/>
        </w:rPr>
        <w:t xml:space="preserve">Compte tenu de l'intense pression géopolitique autour des accusations selon lesquelles le VIV aurait libéré intentionnellement ou accidentellement le SARS-CoV-2 (ce que la mission de l'OMS a jugé «extrêmement improbable»), demander de telles informations n'est </w:t>
      </w:r>
      <w:r>
        <w:rPr>
          <w:rStyle w:val="CharStyle25"/>
          <w:color w:val="464648"/>
          <w:sz w:val="20"/>
        </w:rPr>
        <w:t xml:space="preserve"> </w:t>
      </w:r>
      <w:r>
        <w:rPr>
          <w:rStyle w:val="CharStyle25"/>
          <w:color w:val="303030"/>
          <w:sz w:val="20"/>
        </w:rPr>
        <w:t xml:space="preserve">pas une option plausible à l'heure actuelle.</w:t>
      </w:r>
    </w:p>
    <w:p>
      <w:pPr>
        <w:pStyle w:val="Style24"/>
        <w:keepNext w:val="0"/>
        <w:keepLines w:val="0"/>
        <w:widowControl w:val="0"/>
        <w:shd w:val="clear" w:color="auto" w:fill="auto"/>
        <w:spacing w:before="0" w:after="0" w:line="240" w:lineRule="auto"/>
        <w:ind w:left="960" w:right="0" w:firstLine="0"/>
        <w:jc w:val="left"/>
        <w:rPr>
          <w:sz w:val="20"/>
        </w:rPr>
        <w:sectPr>
          <w:footerReference w:type="default" r:id="rId112"/>
          <w:footnotePr>
            <w:pos w:val="pageBottom"/>
            <w:numFmt w:val="decimal"/>
            <w:numStart w:val="1455"/>
            <w:numRestart w:val="continuous"/>
            <w15:footnoteColumns w:val="1"/>
          </w:footnotePr>
          <w:pgSz w:w="12485" w:h="16357"/>
          <w:pgMar w:top="4311" w:right="1423" w:bottom="3829" w:left="1418" w:header="3883" w:footer="3" w:gutter="0"/>
          <w:cols w:space="720"/>
          <w:noEndnote/>
          <w:rtlGutter w:val="0"/>
          <w:docGrid w:linePitch="360"/>
        </w:sectPr>
      </w:pPr>
      <w:r>
        <w:rPr>
          <w:rStyle w:val="CharStyle25"/>
          <w:color w:val="303030"/>
          <w:sz w:val="20"/>
        </w:rPr>
        <w:t xml:space="preserve">Veuillez agréer, Monsieur, l'expression de mes salutations distinguées.</w:t>
      </w:r>
    </w:p>
    <w:p>
      <w:pPr>
        <w:widowControl w:val="0"/>
        <w:spacing w:line="360" w:lineRule="exact"/>
      </w:pPr>
      <w:r>
        <w:drawing>
          <wp:anchor distT="0" distB="0" distL="0" distR="0" simplePos="0" relativeHeight="62914722" behindDoc="1" locked="0" layoutInCell="1" allowOverlap="1">
            <wp:simplePos x="0" y="0"/>
            <wp:positionH relativeFrom="page">
              <wp:posOffset>1665605</wp:posOffset>
            </wp:positionH>
            <wp:positionV relativeFrom="paragraph">
              <wp:posOffset>12700</wp:posOffset>
            </wp:positionV>
            <wp:extent cx="944880" cy="487680"/>
            <wp:wrapNone/>
            <wp:docPr id="219" name="Forme 219"/>
            <a:graphic xmlns:a="http://schemas.openxmlformats.org/drawingml/2006/main">
              <a:graphicData uri="http://schemas.openxmlformats.org/drawingml/2006/picture">
                <pic:pic xmlns:pic="http://schemas.openxmlformats.org/drawingml/2006/picture">
                  <pic:nvPicPr>
                    <pic:cNvPr id="220" name="Boîte à images 220"/>
                    <pic:cNvPicPr/>
                  </pic:nvPicPr>
                  <pic:blipFill>
                    <a:blip r:embed="rId113"/>
                    <a:stretch/>
                  </pic:blipFill>
                  <pic:spPr>
                    <a:xfrm>
                      <a:ext cx="944880" cy="487680"/>
                    </a:xfrm>
                    <a:prstGeom prst="rect"/>
                  </pic:spPr>
                </pic:pic>
              </a:graphicData>
            </a:graphic>
          </wp:anchor>
        </w:drawing>
      </w:r>
    </w:p>
    <w:p>
      <w:pPr>
        <w:widowControl w:val="0"/>
        <w:spacing w:after="402" w:line="1" w:lineRule="exact"/>
      </w:pPr>
    </w:p>
    <w:p>
      <w:pPr>
        <w:widowControl w:val="0"/>
        <w:spacing w:line="1" w:lineRule="exact"/>
        <w:sectPr>
          <w:footnotePr>
            <w:pos w:val="pageBottom"/>
            <w:numFmt w:val="decimal"/>
            <w:numStart w:val="1455"/>
            <w:numRestart w:val="continuous"/>
            <w15:footnoteColumns w:val="1"/>
          </w:footnotePr>
          <w:type w:val="continuous"/>
          <w:pgSz w:w="12485" w:h="16357"/>
          <w:pgMar w:top="4314" w:right="1423" w:bottom="2121" w:left="1418" w:header="0" w:footer="3" w:gutter="0"/>
          <w:cols w:space="720"/>
          <w:noEndnote/>
          <w:rtlGutter w:val="0"/>
          <w:docGrid w:linePitch="360"/>
        </w:sectPr>
      </w:pPr>
    </w:p>
    <w:p>
      <w:pPr>
        <w:pStyle w:val="Style24"/>
        <w:keepNext w:val="0"/>
        <w:keepLines w:val="0"/>
        <w:widowControl w:val="0"/>
        <w:shd w:val="clear" w:color="auto" w:fill="auto"/>
        <w:spacing w:before="0" w:after="100" w:line="240" w:lineRule="auto"/>
        <w:ind w:left="0" w:right="0" w:firstLine="220"/>
        <w:jc w:val="left"/>
        <w:rPr>
          <w:sz w:val="20"/>
        </w:rPr>
      </w:pPr>
      <w:r>
        <w:rPr>
          <w:rStyle w:val="CharStyle25"/>
          <w:color w:val="303030"/>
          <w:sz w:val="20"/>
        </w:rPr>
        <w:t xml:space="preserve">Dr Peter Daszak</w:t>
      </w:r>
    </w:p>
    <w:p>
      <w:pPr>
        <w:pStyle w:val="Style24"/>
        <w:keepNext w:val="0"/>
        <w:keepLines w:val="0"/>
        <w:widowControl w:val="0"/>
        <w:shd w:val="clear" w:color="auto" w:fill="auto"/>
        <w:spacing w:before="0" w:after="100" w:line="240" w:lineRule="auto"/>
        <w:ind w:left="0" w:right="0" w:firstLine="220"/>
        <w:jc w:val="left"/>
        <w:rPr>
          <w:sz w:val="20"/>
        </w:rPr>
      </w:pPr>
      <w:r>
        <w:rPr>
          <w:rStyle w:val="CharStyle25"/>
          <w:color w:val="303030"/>
          <w:sz w:val="20"/>
        </w:rPr>
        <w:t>président</w:t>
      </w:r>
    </w:p>
    <w:p>
      <w:pPr>
        <w:pStyle w:val="Style24"/>
        <w:keepNext w:val="0"/>
        <w:keepLines w:val="0"/>
        <w:widowControl w:val="0"/>
        <w:shd w:val="clear" w:color="auto" w:fill="auto"/>
        <w:spacing w:before="0" w:after="620" w:line="240" w:lineRule="auto"/>
        <w:ind w:left="0" w:right="0" w:firstLine="220"/>
        <w:jc w:val="left"/>
        <w:rPr>
          <w:sz w:val="20"/>
        </w:rPr>
      </w:pPr>
      <w:r>
        <w:rPr>
          <w:rStyle w:val="CharStyle25"/>
          <w:color w:val="303030"/>
          <w:sz w:val="20"/>
        </w:rPr>
        <w:t xml:space="preserve">t) +1 212-380-4462; e) </w:t>
      </w:r>
      <w:r>
        <w:rPr>
          <w:rStyle w:val="CharStyle25"/>
          <w:color w:val="656361"/>
          <w:sz w:val="20"/>
        </w:rPr>
        <w:t xml:space="preserve">[ </w:t>
      </w:r>
      <w:r>
        <w:rPr>
          <w:rStyle w:val="CharStyle25"/>
          <w:color w:val="303030"/>
          <w:sz w:val="20"/>
        </w:rPr>
        <w:t xml:space="preserve">HYPERLINK "</w:t>
      </w:r>
      <w:r>
        <w:fldChar w:fldCharType="begin"/>
      </w:r>
      <w:r>
        <w:rPr/>
        <w:instrText> HYPERLINK "mailto:daszak@ecohealthalliance.org" </w:instrText>
      </w:r>
      <w:r>
        <w:fldChar w:fldCharType="separate"/>
      </w:r>
      <w:r>
        <w:rPr>
          <w:rStyle w:val="CharStyle25"/>
          <w:color w:val="303030"/>
          <w:sz w:val="20"/>
        </w:rPr>
        <w:t>mailto:daszak@ecohealthalliance.org</w:t>
      </w:r>
      <w:r>
        <w:fldChar w:fldCharType="end"/>
      </w:r>
      <w:r>
        <w:rPr>
          <w:rStyle w:val="CharStyle25"/>
          <w:color w:val="303030"/>
          <w:sz w:val="20"/>
        </w:rPr>
        <w:t xml:space="preserve">" ]</w:t>
      </w:r>
    </w:p>
    <w:p>
      <w:pPr>
        <w:pStyle w:val="Style18"/>
        <w:keepNext w:val="0"/>
        <w:keepLines w:val="0"/>
        <w:widowControl w:val="0"/>
        <w:shd w:val="clear" w:color="auto" w:fill="auto"/>
        <w:spacing w:before="0" w:after="0" w:line="314" w:lineRule="auto"/>
        <w:ind w:left="0" w:right="0" w:firstLine="0"/>
        <w:jc w:val="left"/>
        <w:rPr>
          <w:sz w:val="8"/>
        </w:rPr>
      </w:pPr>
      <w:r>
        <w:rPr>
          <w:rStyle w:val="CharStyle19"/>
          <w:rFonts w:ascii="Arial" w:hAnsi="Arial" w:cs="Arial" w:eastAsia="Arial"/>
          <w:b/>
          <w:color w:val="A0A1A1"/>
          <w:sz w:val="8"/>
        </w:rPr>
        <w:t xml:space="preserve">Alliance pour l'écosanté</w:t>
      </w:r>
    </w:p>
    <w:p>
      <w:pPr>
        <w:pStyle w:val="Style18"/>
        <w:keepNext w:val="0"/>
        <w:keepLines w:val="0"/>
        <w:widowControl w:val="0"/>
        <w:shd w:val="clear" w:color="auto" w:fill="auto"/>
        <w:spacing w:before="0" w:after="0" w:line="314" w:lineRule="auto"/>
        <w:ind w:left="0" w:right="0" w:firstLine="0"/>
        <w:jc w:val="left"/>
        <w:rPr>
          <w:sz w:val="8"/>
        </w:rPr>
      </w:pPr>
      <w:r>
        <w:rPr>
          <w:rStyle w:val="CharStyle19"/>
          <w:rFonts w:ascii="Arial" w:hAnsi="Arial" w:cs="Arial" w:eastAsia="Arial"/>
          <w:b/>
          <w:color w:val="A0A1A1"/>
          <w:sz w:val="8"/>
        </w:rPr>
        <w:t xml:space="preserve">52 a EighthAvenue, Suite 1200 New York, NY 1001B</w:t>
      </w:r>
    </w:p>
    <w:p>
      <w:pPr>
        <w:pStyle w:val="Style18"/>
        <w:keepNext w:val="0"/>
        <w:keepLines w:val="0"/>
        <w:widowControl w:val="0"/>
        <w:shd w:val="clear" w:color="auto" w:fill="auto"/>
        <w:spacing w:before="0" w:after="0" w:line="314" w:lineRule="auto"/>
        <w:ind w:left="0" w:right="0" w:firstLine="0"/>
        <w:jc w:val="left"/>
        <w:rPr>
          <w:sz w:val="8"/>
        </w:rPr>
      </w:pPr>
      <w:r>
        <w:rPr>
          <w:rStyle w:val="CharStyle19"/>
          <w:rFonts w:ascii="Arial" w:hAnsi="Arial" w:cs="Arial" w:eastAsia="Arial"/>
          <w:b/>
          <w:color w:val="A0A1A1"/>
          <w:sz w:val="8"/>
        </w:rPr>
        <w:t>212380.4460</w:t>
      </w:r>
    </w:p>
    <w:p>
      <w:pPr>
        <w:pStyle w:val="Style18"/>
        <w:keepNext w:val="0"/>
        <w:keepLines w:val="0"/>
        <w:widowControl w:val="0"/>
        <w:shd w:val="clear" w:color="auto" w:fill="auto"/>
        <w:spacing w:before="0" w:after="100" w:line="314" w:lineRule="auto"/>
        <w:ind w:left="0" w:right="0" w:firstLine="0"/>
        <w:jc w:val="left"/>
        <w:rPr>
          <w:sz w:val="8"/>
        </w:rPr>
        <w:sectPr>
          <w:footnotePr>
            <w:pos w:val="pageBottom"/>
            <w:numFmt w:val="decimal"/>
            <w:numStart w:val="1455"/>
            <w:numRestart w:val="continuous"/>
            <w15:footnoteColumns w:val="1"/>
          </w:footnotePr>
          <w:type w:val="continuous"/>
          <w:pgSz w:w="12485" w:h="16357"/>
          <w:pgMar w:top="4314" w:right="2882" w:bottom="3826" w:left="2162" w:header="0" w:footer="3" w:gutter="0"/>
          <w:cols w:space="720"/>
          <w:noEndnote/>
          <w:rtlGutter w:val="0"/>
          <w:docGrid w:linePitch="360"/>
        </w:sectPr>
      </w:pPr>
      <w:r>
        <w:rPr>
          <w:rStyle w:val="CharStyle19"/>
          <w:rFonts w:ascii="Arial" w:hAnsi="Arial" w:cs="Arial" w:eastAsia="Arial"/>
          <w:b/>
          <w:color w:val="A0A1A1"/>
          <w:sz w:val="8"/>
        </w:rPr>
        <w:t>EcoHealthAlliance.org</w:t>
      </w:r>
    </w:p>
    <w:p>
      <w:pPr>
        <w:pStyle w:val="Style24"/>
        <w:keepNext w:val="0"/>
        <w:keepLines w:val="0"/>
        <w:widowControl w:val="0"/>
        <w:shd w:val="clear" w:color="auto" w:fill="auto"/>
        <w:spacing w:before="0" w:after="320" w:line="240" w:lineRule="auto"/>
        <w:ind w:left="0" w:right="0" w:hanging="620"/>
        <w:jc w:val="left"/>
        <w:rPr>
          <w:sz w:val="24"/>
        </w:rPr>
      </w:pPr>
      <w:r>
        <w:rPr>
          <w:rStyle w:val="CharStyle25"/>
          <w:b/>
          <w:sz w:val="24"/>
        </w:rPr>
        <w:t xml:space="preserve">CONSTATATION : </w:t>
      </w:r>
      <w:r>
        <w:rPr>
          <w:rStyle w:val="CharStyle25"/>
          <w:sz w:val="24"/>
        </w:rPr>
        <w:t xml:space="preserve">Les actions du Dr David Morens ont violé les National Institutes of Health Policy des États-Unis.</w:t>
      </w:r>
    </w:p>
    <w:p>
      <w:pPr>
        <w:pStyle w:val="Style24"/>
        <w:keepNext w:val="0"/>
        <w:keepLines w:val="0"/>
        <w:widowControl w:val="0"/>
        <w:shd w:val="clear" w:color="auto" w:fill="auto"/>
        <w:spacing w:before="0" w:line="240" w:lineRule="auto"/>
        <w:ind w:left="0" w:right="0" w:firstLine="0"/>
        <w:jc w:val="left"/>
        <w:rPr>
          <w:sz w:val="24"/>
        </w:rPr>
      </w:pPr>
      <w:r>
        <w:rPr>
          <w:rStyle w:val="CharStyle25"/>
          <w:sz w:val="24"/>
        </w:rPr>
        <w:t xml:space="preserve">Selon le Dr Tabak et le Dr Fauci, les actions du Dr Morens violaient la politique des NIH.</w:t>
      </w:r>
    </w:p>
    <w:tbl>
      <w:tblPr>
        <w:tblOverlap w:val="never"/>
        <w:jc w:val="center"/>
        <w:tblLayout w:type="fixed"/>
      </w:tblPr>
      <w:tblGrid>
        <w:gridCol w:w="571"/>
        <w:gridCol w:w="6869"/>
      </w:tblGrid>
      <w:tr>
        <w:trPr>
          <w:trHeight w:val="466" w:hRule="exact"/>
        </w:trPr>
        <w:tc>
          <w:tcPr>
            <w:gridSpan w:val="2"/>
            <w:tcBorders>
              <w:top w:val="single" w:sz="4"/>
              <w:left w:val="single" w:sz="4"/>
              <w:right w:val="single" w:sz="4"/>
            </w:tcBorders>
            <w:shd w:val="clear" w:color="auto" w:fill="D9E9F8"/>
            <w:vAlign w:val="top"/>
          </w:tcPr>
          <w:p>
            <w:pPr>
              <w:pStyle w:val="Style18"/>
              <w:keepNext w:val="0"/>
              <w:keepLines w:val="0"/>
              <w:widowControl w:val="0"/>
              <w:shd w:val="clear" w:color="auto" w:fill="auto"/>
              <w:spacing w:before="0" w:after="0" w:line="240" w:lineRule="auto"/>
              <w:ind w:left="0" w:right="0" w:firstLine="0"/>
              <w:jc w:val="left"/>
              <w:rPr>
                <w:sz w:val="24"/>
              </w:rPr>
            </w:pPr>
            <w:r>
              <w:rPr>
                <w:rStyle w:val="CharStyle19"/>
                <w:b/>
                <w:sz w:val="24"/>
                <w:u w:val="single"/>
              </w:rPr>
              <w:t xml:space="preserve">Dr Lawrence Tabak (16 mai 2024)</w:t>
            </w:r>
          </w:p>
        </w:tc>
      </w:tr>
      <w:tr>
        <w:trPr>
          <w:trHeight w:val="2208" w:hRule="exact"/>
        </w:trPr>
        <w:tc>
          <w:tcPr>
            <w:tcBorders>
              <w:left w:val="single" w:sz="4"/>
            </w:tcBorders>
            <w:shd w:val="clear" w:color="auto" w:fill="D9E9F8"/>
            <w:vAlign w:val="top"/>
          </w:tcPr>
          <w:p>
            <w:pPr>
              <w:pStyle w:val="Style18"/>
              <w:keepNext w:val="0"/>
              <w:keepLines w:val="0"/>
              <w:widowControl w:val="0"/>
              <w:shd w:val="clear" w:color="auto" w:fill="auto"/>
              <w:spacing w:before="160" w:after="0" w:line="240" w:lineRule="auto"/>
              <w:ind w:left="0" w:right="0" w:firstLine="0"/>
              <w:jc w:val="left"/>
              <w:rPr>
                <w:sz w:val="24"/>
              </w:rPr>
            </w:pPr>
            <w:r>
              <w:rPr>
                <w:rStyle w:val="CharStyle19"/>
                <w:sz w:val="24"/>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240" w:right="0" w:firstLine="0"/>
              <w:jc w:val="both"/>
              <w:rPr>
                <w:sz w:val="24"/>
              </w:rPr>
            </w:pPr>
            <w:r>
              <w:rPr>
                <w:rStyle w:val="CharStyle19"/>
                <w:sz w:val="24"/>
              </w:rPr>
              <w:t xml:space="preserve">Passage à certaines questions concernant les politiques de conservation des documents des NIH. Le Dr David Morens, conseiller principal du Dr Fauci depuis des décennies, a écrit dans un courriel au Dr Daszak: «J’ai appris de notre dame FOIA ici comment faire disparaître les courriels après FOIA, mais avant que la recherche ne commence, donc je pense que nous sommes tous en sécurité. Phis, j’ai supprimé la plupart de ces courriels antérieurs après les avoir envoyés à Gmail.» Est-ce conforme aux politiques de conservation des documents des NIH?</w:t>
            </w:r>
          </w:p>
        </w:tc>
      </w:tr>
      <w:tr>
        <w:trPr>
          <w:trHeight w:val="538"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rPr>
                <w:sz w:val="24"/>
              </w:rPr>
            </w:pPr>
            <w:r>
              <w:rPr>
                <w:rStyle w:val="CharStyle19"/>
                <w:sz w:val="24"/>
              </w:rPr>
              <w:t xml:space="preserve">Ce n'est pas le cas.</w:t>
            </w:r>
          </w:p>
        </w:tc>
      </w:tr>
      <w:tr>
        <w:trPr>
          <w:trHeight w:val="850"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240" w:right="0" w:firstLine="0"/>
              <w:jc w:val="both"/>
              <w:rPr>
                <w:sz w:val="24"/>
              </w:rPr>
            </w:pPr>
            <w:r>
              <w:rPr>
                <w:rStyle w:val="CharStyle19"/>
                <w:sz w:val="24"/>
              </w:rPr>
              <w:t xml:space="preserve">Le NIH FOIA Office enseigne-t-il aux employés comment éviter la transparence?</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rPr>
                <w:sz w:val="24"/>
              </w:rPr>
            </w:pPr>
            <w:r>
              <w:rPr>
                <w:rStyle w:val="CharStyle19"/>
                <w:sz w:val="24"/>
              </w:rPr>
              <w:t xml:space="preserve">J'espère que non.</w:t>
            </w:r>
          </w:p>
        </w:tc>
      </w:tr>
      <w:tr>
        <w:trPr>
          <w:trHeight w:val="1373" w:hRule="exact"/>
        </w:trPr>
        <w:tc>
          <w:tcPr>
            <w:tcBorders>
              <w:left w:val="single" w:sz="4"/>
            </w:tcBorders>
            <w:shd w:val="clear" w:color="auto" w:fill="D9E9F8"/>
            <w:vAlign w:val="top"/>
          </w:tcPr>
          <w:p>
            <w:pPr>
              <w:pStyle w:val="Style18"/>
              <w:keepNext w:val="0"/>
              <w:keepLines w:val="0"/>
              <w:widowControl w:val="0"/>
              <w:shd w:val="clear" w:color="auto" w:fill="auto"/>
              <w:spacing w:before="160" w:after="0" w:line="240" w:lineRule="auto"/>
              <w:ind w:left="0" w:right="0" w:firstLine="0"/>
              <w:jc w:val="left"/>
              <w:rPr>
                <w:sz w:val="24"/>
              </w:rPr>
            </w:pPr>
            <w:r>
              <w:rPr>
                <w:rStyle w:val="CharStyle19"/>
                <w:sz w:val="24"/>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240" w:right="0" w:firstLine="0"/>
              <w:jc w:val="both"/>
              <w:rPr>
                <w:sz w:val="24"/>
              </w:rPr>
            </w:pPr>
            <w:r>
              <w:rPr>
                <w:rStyle w:val="CharStyle19"/>
                <w:sz w:val="24"/>
              </w:rPr>
              <w:t xml:space="preserve">Il a également écrit plus tard au Dr Daszak: «Nous sommes tous assez intelligents pour savoir que nous n’avons jamais d’armes à feu fumantes, et si nous le faisions, nous ne les mettrions pas dans des courriels. Et si nous les trouvions, nous les supprimerions.» Est-ce conforme aux politiques de conservation des documents des NIH?</w:t>
            </w:r>
          </w:p>
        </w:tc>
      </w:tr>
      <w:tr>
        <w:trPr>
          <w:trHeight w:val="54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rPr>
                <w:sz w:val="24"/>
              </w:rPr>
            </w:pPr>
            <w:r>
              <w:rPr>
                <w:rStyle w:val="CharStyle19"/>
                <w:sz w:val="24"/>
              </w:rPr>
              <w:t xml:space="preserve">Ce n'est pas le cas.</w:t>
            </w:r>
          </w:p>
        </w:tc>
      </w:tr>
      <w:tr>
        <w:trPr>
          <w:trHeight w:val="1680" w:hRule="exact"/>
        </w:trPr>
        <w:tc>
          <w:tcPr>
            <w:tcBorders>
              <w:left w:val="single" w:sz="4"/>
            </w:tcBorders>
            <w:shd w:val="clear" w:color="auto" w:fill="D9E9F8"/>
            <w:vAlign w:val="top"/>
          </w:tcPr>
          <w:p>
            <w:pPr>
              <w:pStyle w:val="Style18"/>
              <w:keepNext w:val="0"/>
              <w:keepLines w:val="0"/>
              <w:widowControl w:val="0"/>
              <w:shd w:val="clear" w:color="auto" w:fill="auto"/>
              <w:spacing w:before="180" w:after="0" w:line="240" w:lineRule="auto"/>
              <w:ind w:left="0" w:right="0" w:firstLine="0"/>
              <w:jc w:val="left"/>
              <w:rPr>
                <w:sz w:val="24"/>
              </w:rPr>
            </w:pPr>
            <w:r>
              <w:rPr>
                <w:rStyle w:val="CharStyle19"/>
                <w:sz w:val="24"/>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240" w:right="0" w:firstLine="0"/>
              <w:jc w:val="both"/>
              <w:rPr>
                <w:sz w:val="24"/>
              </w:rPr>
            </w:pPr>
            <w:r>
              <w:rPr>
                <w:rStyle w:val="CharStyle19"/>
                <w:sz w:val="24"/>
              </w:rPr>
              <w:t xml:space="preserve">Enfin, les courriels montrent que le Dr Morens partagerait des discussions internes concernant les prochaines versions de FOIA avec le Dr Daszak. Il aiderait ensuite le Dr Daszak à élaborer des réponses aux documents publiés dans ces FOIA. Ces mesures sont-elles conformes aux politiques des NIH?</w:t>
            </w:r>
          </w:p>
        </w:tc>
      </w:tr>
      <w:tr>
        <w:trPr>
          <w:trHeight w:val="528"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rPr>
                <w:sz w:val="24"/>
              </w:rPr>
            </w:pPr>
            <w:r>
              <w:rPr>
                <w:rStyle w:val="CharStyle19"/>
                <w:sz w:val="24"/>
              </w:rPr>
              <w:t xml:space="preserve">Si ces actions se produisaient, elles ne seraient pas cohérentes.</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rPr>
                <w:sz w:val="24"/>
              </w:rPr>
            </w:pPr>
            <w:r>
              <w:rPr>
                <w:rStyle w:val="CharStyle19"/>
                <w:sz w:val="24"/>
              </w:rPr>
              <w:t xml:space="preserve">Alors, ces actions vous concernent-elles, Dr Tabak?</w:t>
            </w:r>
          </w:p>
        </w:tc>
      </w:tr>
      <w:tr>
        <w:trPr>
          <w:trHeight w:val="451" w:hRule="exact"/>
        </w:trPr>
        <w:tc>
          <w:tcPr>
            <w:tcBorders>
              <w:left w:val="single" w:sz="4"/>
              <w:bottom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rPr>
                <w:sz w:val="24"/>
              </w:rPr>
            </w:pPr>
            <w:r>
              <w:rPr>
                <w:rStyle w:val="CharStyle19"/>
                <w:sz w:val="24"/>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240"/>
              <w:jc w:val="left"/>
              <w:rPr>
                <w:sz w:val="24"/>
              </w:rPr>
            </w:pPr>
            <w:r>
              <w:rPr>
                <w:rStyle w:val="CharStyle19"/>
                <w:sz w:val="24"/>
              </w:rPr>
              <w:t xml:space="preserve">C'est effectivement le cas.</w:t>
              <w:footnoteReference w:id="407"/>
            </w:r>
          </w:p>
        </w:tc>
      </w:tr>
    </w:tbl>
    <w:p>
      <w:pPr>
        <w:widowControl w:val="0"/>
        <w:spacing w:after="259" w:line="1" w:lineRule="exact"/>
      </w:pPr>
    </w:p>
    <w:p>
      <w:pPr>
        <w:pStyle w:val="Style54"/>
        <w:keepNext/>
        <w:keepLines/>
        <w:widowControl w:val="0"/>
        <w:shd w:val="clear" w:color="auto" w:fill="auto"/>
        <w:spacing w:before="0" w:after="260" w:line="240" w:lineRule="auto"/>
        <w:ind w:left="0" w:right="0" w:firstLine="0"/>
        <w:jc w:val="left"/>
        <w:rPr>
          <w:sz w:val="24"/>
        </w:rPr>
      </w:pPr>
      <w:bookmarkStart w:id="20" w:name="bookmark20"/>
      <w:r>
        <w:rPr>
          <w:rStyle w:val="CharStyle55"/>
          <w:b/>
          <w:color w:val="000000"/>
          <w:sz w:val="24"/>
          <w:u w:val="single"/>
        </w:rPr>
        <w:t xml:space="preserve">Dr Anthony Fauci (3 juin 2024)</w:t>
      </w:r>
      <w:bookmarkEnd w:id="20"/>
    </w:p>
    <w:p>
      <w:pPr>
        <w:pStyle w:val="Style24"/>
        <w:keepNext w:val="0"/>
        <w:keepLines w:val="0"/>
        <w:widowControl w:val="0"/>
        <w:shd w:val="clear" w:color="auto" w:fill="auto"/>
        <w:spacing w:before="0" w:line="240" w:lineRule="auto"/>
        <w:ind w:left="780" w:right="0" w:hanging="780"/>
        <w:jc w:val="left"/>
        <w:rPr>
          <w:sz w:val="24"/>
        </w:rPr>
        <w:sectPr>
          <w:footerReference w:type="default" r:id="rId115"/>
          <w:footnotePr>
            <w:pos w:val="pageBottom"/>
            <w:numFmt w:val="decimal"/>
            <w:numStart w:val="1455"/>
            <w:numRestart w:val="continuous"/>
            <w15:footnoteColumns w:val="1"/>
          </w:footnotePr>
          <w:pgSz w:w="12240" w:h="15840"/>
          <w:pgMar w:top="1483" w:right="2760" w:bottom="1240" w:left="2040" w:header="1055" w:footer="3" w:gutter="0"/>
          <w:cols w:space="720"/>
          <w:noEndnote/>
          <w:rtlGutter w:val="0"/>
          <w:docGrid w:linePitch="360"/>
        </w:sectPr>
      </w:pPr>
      <w:r>
        <w:rPr>
          <w:rStyle w:val="CharStyle25"/>
          <w:sz w:val="24"/>
        </w:rPr>
        <w:t xml:space="preserve">Q. Il y a donc un comportement troublant de votre entourage, non seulement du Dr Morens, mais aussi de votre chef de cabinet, M. Folkers. Est-ce que vous</w:t>
      </w:r>
    </w:p>
    <w:tbl>
      <w:tblPr>
        <w:tblOverlap w:val="never"/>
        <w:jc w:val="center"/>
        <w:tblLayout w:type="fixed"/>
      </w:tblPr>
      <w:tblGrid>
        <w:gridCol w:w="586"/>
        <w:gridCol w:w="6859"/>
      </w:tblGrid>
      <w:tr>
        <w:trPr>
          <w:trHeight w:val="725" w:hRule="exact"/>
        </w:trPr>
        <w:tc>
          <w:tcPr>
            <w:tcBorders>
              <w:left w:val="single" w:sz="4"/>
            </w:tcBorders>
            <w:shd w:val="clear" w:color="auto" w:fill="D9E9F8"/>
            <w:vAlign w:val="top"/>
          </w:tcPr>
          <w:p>
            <w:pPr>
              <w:widowControl w:val="0"/>
              <w:rPr>
                <w:sz w:val="10"/>
              </w:rPr>
            </w:pPr>
          </w:p>
        </w:tc>
        <w:tc>
          <w:tcPr>
            <w:tcBorders>
              <w:right w:val="single" w:sz="4"/>
            </w:tcBorders>
            <w:shd w:val="clear" w:color="auto" w:fill="D9E9F8"/>
            <w:vAlign w:val="top"/>
          </w:tcPr>
          <w:p>
            <w:pPr>
              <w:pStyle w:val="Style18"/>
              <w:keepNext w:val="0"/>
              <w:keepLines w:val="0"/>
              <w:widowControl w:val="0"/>
              <w:shd w:val="clear" w:color="auto" w:fill="auto"/>
              <w:spacing w:before="0" w:after="0" w:line="269" w:lineRule="auto"/>
              <w:ind w:left="240" w:right="0" w:firstLine="0"/>
              <w:jc w:val="both"/>
            </w:pPr>
            <w:r>
              <w:rPr>
                <w:rStyle w:val="CharStyle19"/>
              </w:rPr>
              <w:t xml:space="preserve">Accepter qu'il viole la politique de NIAID d'utiliser le courrier électronique personnel à des fins officielles?</w:t>
            </w:r>
          </w:p>
        </w:tc>
      </w:tr>
      <w:tr>
        <w:trPr>
          <w:trHeight w:val="826"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59" w:lineRule="auto"/>
              <w:ind w:left="240" w:right="0" w:firstLine="0"/>
              <w:jc w:val="both"/>
            </w:pPr>
            <w:r>
              <w:rPr>
                <w:rStyle w:val="CharStyle19"/>
              </w:rPr>
              <w:t xml:space="preserve">La question du Dr Morens qui a été discutée par ce comité viole la politique des NIH, oui.</w:t>
            </w:r>
          </w:p>
        </w:tc>
      </w:tr>
      <w:tr>
        <w:trPr>
          <w:trHeight w:val="811"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59" w:lineRule="auto"/>
              <w:ind w:left="240" w:right="0" w:firstLine="0"/>
              <w:jc w:val="both"/>
            </w:pPr>
            <w:r>
              <w:rPr>
                <w:rStyle w:val="CharStyle19"/>
              </w:rPr>
              <w:t xml:space="preserve">Mais l'utilisation d'un courriel officiel - en utilisant un courriel personnel pour les affaires officielles - viole-t-elle la politique?</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L'utilisation d'un e-mail personnel pour les affaires officielles viole la politique des NIH.</w:t>
            </w:r>
          </w:p>
        </w:tc>
      </w:tr>
      <w:tr>
        <w:trPr>
          <w:trHeight w:val="835"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54" w:lineRule="auto"/>
              <w:ind w:left="240" w:right="0" w:firstLine="0"/>
              <w:jc w:val="both"/>
            </w:pPr>
            <w:r>
              <w:rPr>
                <w:rStyle w:val="CharStyle19"/>
              </w:rPr>
              <w:t xml:space="preserve">Est-il contraire à la politique de NAID-NAI-NA-NIAID de supprimer des enregistrements pour éviter intentionnellement FOIA?</w:t>
            </w:r>
          </w:p>
        </w:tc>
      </w:tr>
      <w:tr>
        <w:trPr>
          <w:trHeight w:val="533"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Oui.</w:t>
            </w:r>
          </w:p>
        </w:tc>
      </w:tr>
      <w:tr>
        <w:trPr>
          <w:trHeight w:val="840"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D'accord. Le 28 avril 2020, le Dr Morens a édité un communiqué de presse d'EcoHealth concernant la résiliation de la subvention. Est-ce que cela viole la politique?</w:t>
            </w:r>
          </w:p>
        </w:tc>
      </w:tr>
      <w:tr>
        <w:trPr>
          <w:trHeight w:val="835"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C'était inapproprié, pour lui, de le faire pour un bénéficiaire de subvention, en tant que conflit d'intérêts, entre autres choses.</w:t>
            </w:r>
          </w:p>
        </w:tc>
      </w:tr>
      <w:tr>
        <w:trPr>
          <w:trHeight w:val="821"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Ainsi, le 29 mars 2021, le Dr Morens a édité une lettre que le Dr Daszak envoyait aux NIH. Est-ce que cela viole la politique?</w:t>
            </w:r>
          </w:p>
        </w:tc>
      </w:tr>
      <w:tr>
        <w:trPr>
          <w:trHeight w:val="538"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Oui, c'est vrai.</w:t>
            </w:r>
          </w:p>
        </w:tc>
      </w:tr>
      <w:tr>
        <w:trPr>
          <w:trHeight w:val="1114"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40" w:right="0" w:firstLine="0"/>
              <w:jc w:val="both"/>
            </w:pPr>
            <w:r>
              <w:rPr>
                <w:rStyle w:val="CharStyle19"/>
              </w:rPr>
              <w:t xml:space="preserve">Le 25 octobre 2021, le Dr Morens a fourni au Dr Daszak des conseils sur la manière d’induire les NIH en erreur sur le rapport d’avancement tardif d’EcoHealth. Est-ce que cela viole la politique?</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C'était une politique erronée, inappropriée et violée.</w:t>
            </w:r>
          </w:p>
        </w:tc>
      </w:tr>
      <w:tr>
        <w:trPr>
          <w:trHeight w:val="1090"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40" w:right="0" w:firstLine="0"/>
              <w:jc w:val="both"/>
            </w:pPr>
            <w:r>
              <w:rPr>
                <w:rStyle w:val="CharStyle19"/>
              </w:rPr>
              <w:t xml:space="preserve">Le 7 décembre 2021, le Dr Morens a écrit au président du conseil d’administration d’EcoHealth pour, je cite, «mettre un mot» pour le Dr Daszak. Est-ce que cela viole la politique?</w:t>
            </w:r>
          </w:p>
        </w:tc>
      </w:tr>
      <w:tr>
        <w:trPr>
          <w:trHeight w:val="55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Il n'aurait pas dû faire ça. C'était mal.</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Et cela viole la politique?</w:t>
            </w:r>
          </w:p>
        </w:tc>
      </w:tr>
      <w:tr>
        <w:trPr>
          <w:trHeight w:val="706" w:hRule="exact"/>
        </w:trPr>
        <w:tc>
          <w:tcPr>
            <w:tcBorders>
              <w:left w:val="single" w:sz="4"/>
              <w:bottom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59" w:lineRule="auto"/>
              <w:ind w:left="240" w:right="0" w:firstLine="0"/>
              <w:jc w:val="both"/>
            </w:pPr>
            <w:r>
              <w:rPr>
                <w:rStyle w:val="CharStyle19"/>
              </w:rPr>
              <w:t xml:space="preserve">Eh bien, je ne suis pas sûr d’une politique spécifique, mais j’imagine qu’elle viole cette politique. Il n'aurait pas dû faire ça.</w:t>
              <w:footnoteReference w:id="408"/>
            </w:r>
          </w:p>
        </w:tc>
      </w:tr>
    </w:tbl>
    <w:p>
      <w:pPr>
        <w:sectPr>
          <w:footnotePr>
            <w:pos w:val="pageBottom"/>
            <w:numFmt w:val="decimal"/>
            <w:numStart w:val="1455"/>
            <w:numRestart w:val="continuous"/>
            <w15:footnoteColumns w:val="1"/>
          </w:footnotePr>
          <w:pgSz w:w="12485" w:h="16357"/>
          <w:pgMar w:top="1689" w:right="2883" w:bottom="1499" w:left="2158" w:header="1261" w:footer="3" w:gutter="0"/>
          <w:cols w:space="720"/>
          <w:noEndnote/>
          <w:rtlGutter w:val="0"/>
          <w:docGrid w:linePitch="360"/>
        </w:sectPr>
      </w:pPr>
    </w:p>
    <w:tbl>
      <w:tblPr>
        <w:tblOverlap w:val="never"/>
        <w:jc w:val="center"/>
        <w:tblLayout w:type="fixed"/>
      </w:tblPr>
      <w:tblGrid>
        <w:gridCol w:w="523"/>
        <w:gridCol w:w="6802"/>
      </w:tblGrid>
      <w:tr>
        <w:trPr>
          <w:trHeight w:val="288"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Lawrence Tabak (14 novembre 2024)</w:t>
            </w:r>
          </w:p>
        </w:tc>
      </w:tr>
      <w:tr>
        <w:trPr>
          <w:trHeight w:val="989"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Merci. Dr Tabak, le Dr David Morens est-il toujours employé par les NIH?</w:t>
            </w:r>
          </w:p>
        </w:tc>
      </w:tr>
      <w:tr>
        <w:trPr>
          <w:trHeight w:val="566"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C'est toujours un employé.</w:t>
            </w:r>
          </w:p>
        </w:tc>
      </w:tr>
      <w:tr>
        <w:trPr>
          <w:trHeight w:val="1637"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40" w:right="0" w:firstLine="0"/>
              <w:jc w:val="both"/>
            </w:pPr>
            <w:r>
              <w:rPr>
                <w:rStyle w:val="CharStyle19"/>
              </w:rPr>
              <w:t xml:space="preserve">Lorsque vous avez témoigné cet été, je vous ai posé une série de questions sur certaines des actions du Dr Morens. La première était que le bureau de la FOIA du NIH enseigne aux employés comment éviter la FOIA. Vous avez dit, et je cite, « J'espère certainement que non. » Savez-vous que l'un de vos anciens officiers de la FOIA a invoqué le cinquième amendement lorsqu'on l'a interrogé sur cette question?</w:t>
            </w:r>
          </w:p>
        </w:tc>
      </w:tr>
      <w:tr>
        <w:trPr>
          <w:trHeight w:val="571"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J'ai appris cela dans la presse profane, oui.</w:t>
            </w:r>
          </w:p>
        </w:tc>
      </w:tr>
      <w:tr>
        <w:trPr>
          <w:trHeight w:val="1104"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J'ai ensuite demandé si la suppression des courriels du Dr Morens et l'utilisation de son courriel personnel pour cacher sa relation avec EcoHealth étaient conformes à la politique des NIH, et vous avez dit non.</w:t>
            </w:r>
          </w:p>
        </w:tc>
      </w:tr>
      <w:tr>
        <w:trPr>
          <w:trHeight w:val="55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Absolument.</w:t>
            </w:r>
          </w:p>
        </w:tc>
      </w:tr>
      <w:tr>
        <w:trPr>
          <w:trHeight w:val="1363"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J'ai ensuite demandé si le fait que le Dr Morens partage les délibérations internes des NIH ou aide à l'élaboration des réponses d'EcoHealth était conforme à la politique des NIH. Vous avez dit, je cite : « Si ces actions se produisaient, elles ne seraient pas cohérentes. »</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Oui, monsieur.</w:t>
            </w:r>
          </w:p>
        </w:tc>
      </w:tr>
      <w:tr>
        <w:trPr>
          <w:trHeight w:val="840"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59" w:lineRule="auto"/>
              <w:ind w:left="240" w:right="0" w:firstLine="0"/>
              <w:jc w:val="both"/>
            </w:pPr>
            <w:r>
              <w:rPr>
                <w:rStyle w:val="CharStyle19"/>
              </w:rPr>
              <w:t xml:space="preserve">Si je vous montre la preuve de ces actions, allez-vous prendre d'autres mesures en matière d'emploi contre le Dr Morens?</w:t>
            </w:r>
          </w:p>
        </w:tc>
      </w:tr>
      <w:tr>
        <w:trPr>
          <w:trHeight w:val="55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240" w:right="0" w:firstLine="0"/>
              <w:jc w:val="both"/>
            </w:pPr>
            <w:r>
              <w:rPr>
                <w:rStyle w:val="CharStyle19"/>
              </w:rPr>
              <w:t xml:space="preserve">Monsieur, nous prenons les mesures nécessaires dans tous les cas:</w:t>
            </w:r>
          </w:p>
        </w:tc>
      </w:tr>
      <w:tr>
        <w:trPr>
          <w:trHeight w:val="1373"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D'accord. À l'écran, dans une chaîne de courriels, il y a un courriel interne des NIH au sujet d'une ébauche de lettre du Dr Fauci aux sénateurs Graham et Paul. Le Dr Morens l'a transmis d'abord à son Gmail, puis au Dr Daszak. Le partage de ce projet de lettre viole-t-il la politique des NIH?</w:t>
            </w:r>
          </w:p>
        </w:tc>
      </w:tr>
      <w:tr>
        <w:trPr>
          <w:trHeight w:val="54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Oui, bien sûr.</w:t>
            </w:r>
          </w:p>
        </w:tc>
      </w:tr>
      <w:tr>
        <w:trPr>
          <w:trHeight w:val="1795"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both"/>
            </w:pPr>
            <w:r>
              <w:rPr>
                <w:rStyle w:val="CharStyle19"/>
              </w:rPr>
              <w:t xml:space="preserve">Le prochain courriel est le NIH informant le Dr Morens que le Conseil national de sécurité dirigera les communications sur le rapport d'origine de l'OMS. Le Dr Morens l'a transmis d'abord à son Gmail, puis au Dr Daszak. Le partage de cette délibération interne viole-t-il la politique des NIH?</w:t>
            </w:r>
          </w:p>
        </w:tc>
      </w:tr>
      <w:tr>
        <w:trPr>
          <w:trHeight w:val="1190" w:hRule="exact"/>
        </w:trPr>
        <w:tc>
          <w:tcPr>
            <w:gridSpan w:val="2"/>
            <w:tcBorders>
              <w:bottom w:val="single" w:sz="4"/>
            </w:tcBorders>
            <w:shd w:val="clear" w:color="auto" w:fill="auto"/>
            <w:vAlign w:val="center"/>
          </w:tcPr>
          <w:p>
            <w:pPr>
              <w:pStyle w:val="Style18"/>
              <w:keepNext w:val="0"/>
              <w:keepLines w:val="0"/>
              <w:widowControl w:val="0"/>
              <w:shd w:val="clear" w:color="auto" w:fill="auto"/>
              <w:spacing w:before="0" w:after="0" w:line="240" w:lineRule="auto"/>
              <w:ind w:left="0" w:right="0" w:firstLine="0"/>
              <w:jc w:val="center"/>
            </w:pPr>
            <w:r>
              <w:rPr>
                <w:rStyle w:val="CharStyle19"/>
              </w:rPr>
              <w:t xml:space="preserve">Page 499 de 520</w:t>
            </w:r>
          </w:p>
        </w:tc>
      </w:tr>
    </w:tbl>
    <w:p>
      <w:pPr>
        <w:spacing w:lineRule="exact" w:line="1"/>
        <w:rPr>
          <w:sz w:val="2"/>
        </w:rPr>
      </w:pPr>
      <w:r>
        <w:br w:type="page"/>
      </w:r>
    </w:p>
    <w:tbl>
      <w:tblPr>
        <w:tblOverlap w:val="never"/>
        <w:jc w:val="center"/>
        <w:tblLayout w:type="fixed"/>
      </w:tblPr>
      <w:tblGrid>
        <w:gridCol w:w="523"/>
        <w:gridCol w:w="6802"/>
      </w:tblGrid>
      <w:tr>
        <w:trPr>
          <w:trHeight w:val="427" w:hRule="exact"/>
        </w:trPr>
        <w:tc>
          <w:tcPr>
            <w:tcBorders>
              <w:left w:val="single" w:sz="4"/>
            </w:tcBorders>
            <w:shd w:val="clear" w:color="auto" w:fill="D9E9F8"/>
            <w:vAlign w:val="top"/>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top"/>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Oui, c'est vrai.</w:t>
            </w:r>
          </w:p>
        </w:tc>
      </w:tr>
      <w:tr>
        <w:trPr>
          <w:trHeight w:val="1954"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40" w:right="0" w:firstLine="0"/>
              <w:jc w:val="both"/>
            </w:pPr>
            <w:r>
              <w:rPr>
                <w:rStyle w:val="CharStyle19"/>
              </w:rPr>
              <w:t xml:space="preserve">Le prochain courriel est le Dr Daszak sollicitant l'aide du Dr Morens pour répondre aux NIH. Le Dr Morens a répondu avec ses modifications à la lettre. Mais ne prenons pas le mot du Dr Morens pour ça. La pièce jointe comprend des commentaires et des suivis des changements effectués par le Dr Morens. Monsieur, un employé des NIH révisant la réponse de surveillance d'un bénéficiaire aux NIH viole-t-il la politique des NIH?</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C'est absolument inapproprié.</w:t>
            </w:r>
          </w:p>
        </w:tc>
      </w:tr>
      <w:tr>
        <w:trPr>
          <w:trHeight w:val="811"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54" w:lineRule="auto"/>
              <w:ind w:left="240" w:right="0" w:firstLine="0"/>
              <w:jc w:val="both"/>
            </w:pPr>
            <w:r>
              <w:rPr>
                <w:rStyle w:val="CharStyle19"/>
              </w:rPr>
              <w:t xml:space="preserve">Avez-vous lu la transcription de l'entrevue du Dr Morens devant le sous-comité restreint?</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240" w:right="0" w:firstLine="0"/>
              <w:jc w:val="both"/>
            </w:pPr>
            <w:r>
              <w:rPr>
                <w:rStyle w:val="CharStyle19"/>
              </w:rPr>
              <w:t xml:space="preserve">Je ne l'ai pas fait.</w:t>
            </w:r>
          </w:p>
        </w:tc>
      </w:tr>
      <w:tr>
        <w:trPr>
          <w:trHeight w:val="2784" w:hRule="exact"/>
        </w:trPr>
        <w:tc>
          <w:tcPr>
            <w:tcBorders>
              <w:left w:val="single" w:sz="4"/>
            </w:tcBorders>
            <w:shd w:val="clear" w:color="auto" w:fill="D9E9F8"/>
            <w:vAlign w:val="top"/>
          </w:tcPr>
          <w:p>
            <w:pPr>
              <w:pStyle w:val="Style18"/>
              <w:keepNext w:val="0"/>
              <w:keepLines w:val="0"/>
              <w:widowControl w:val="0"/>
              <w:shd w:val="clear" w:color="auto" w:fill="auto"/>
              <w:spacing w:before="14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40" w:right="0" w:firstLine="0"/>
              <w:jc w:val="both"/>
            </w:pPr>
            <w:r>
              <w:rPr>
                <w:rStyle w:val="CharStyle19"/>
              </w:rPr>
              <w:t xml:space="preserve">J'aimerais vous donner quelques exemples de son témoignage. On a demandé au Dr Morens s'il avait déjà supprimé un dossier officiel de son compte NIH, et il a répondu: «Non.» Le 21 janvier 2022, le Dr Morens a écrit, et je cite: «Deux fois dans le passé, y compris il y a environ un mois, j'ai tout supprimé avec les personnes EHA de tout mon Outlook», citation finale. Puis, le 1er août 2022, le Dr Morens a écrit, et je cite: «J'espère qu'il n'y aura aucun problème avec les courriels qui m'ont été envoyés à mon adresse NIH. Je les ai supprimés rapidement », fin de citation. Le Dr Morens a-t-il menti au Congrès?</w:t>
            </w:r>
          </w:p>
        </w:tc>
      </w:tr>
      <w:tr>
        <w:trPr>
          <w:trHeight w:val="1099"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ind w:left="240" w:right="0" w:firstLine="0"/>
              <w:jc w:val="both"/>
            </w:pPr>
            <w:r>
              <w:rPr>
                <w:rStyle w:val="CharStyle19"/>
              </w:rPr>
              <w:t xml:space="preserve">Monsieur, je ne sais pas s'il a réussi à supprimer les e-mails ou non. S'il est un employé de Capstone, il ne serait pas en mesure de supprimer les e-mails. Il sort de son –</w:t>
            </w:r>
          </w:p>
        </w:tc>
      </w:tr>
      <w:tr>
        <w:trPr>
          <w:trHeight w:val="54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Eh bien, il pensait qu'il les avait supprimés.</w:t>
            </w:r>
          </w:p>
        </w:tc>
      </w:tr>
      <w:tr>
        <w:trPr>
          <w:trHeight w:val="701"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rPr>
                <w:sz w:val="16"/>
              </w:rPr>
            </w:pPr>
            <w:r>
              <w:rPr>
                <w:rStyle w:val="CharStyle19"/>
              </w:rPr>
              <w:t xml:space="preserve">A. </w:t>
            </w:r>
            <w:r>
              <w:rPr>
                <w:rStyle w:val="CharStyle19"/>
                <w:sz w:val="16"/>
                <w:vertAlign w:val="subscript"/>
              </w:rPr>
              <w:t>–</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Eh bien, il a peut-être pensé cela, mais s'il est un employé de Capstone</w:t>
            </w:r>
          </w:p>
        </w:tc>
      </w:tr>
      <w:tr>
        <w:trPr>
          <w:trHeight w:val="68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Ainsi,</w:t>
            </w:r>
          </w:p>
        </w:tc>
      </w:tr>
      <w:tr>
        <w:trPr>
          <w:trHeight w:val="54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 il resterait dans le dossier.</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 il me semble qu'il a menti au Congrès. Et c'est un crime.</w:t>
            </w:r>
          </w:p>
        </w:tc>
      </w:tr>
      <w:tr>
        <w:trPr>
          <w:trHeight w:val="562"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both"/>
            </w:pPr>
            <w:r>
              <w:rPr>
                <w:rStyle w:val="CharStyle19"/>
              </w:rPr>
              <w:t xml:space="preserve">Eh bien, encore une fois, je –</w:t>
            </w:r>
          </w:p>
        </w:tc>
      </w:tr>
      <w:tr>
        <w:trPr>
          <w:trHeight w:val="946"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bottom"/>
          </w:tcPr>
          <w:p>
            <w:pPr>
              <w:pStyle w:val="Style18"/>
              <w:keepNext w:val="0"/>
              <w:keepLines w:val="0"/>
              <w:widowControl w:val="0"/>
              <w:shd w:val="clear" w:color="auto" w:fill="auto"/>
              <w:spacing w:before="0" w:after="0"/>
              <w:ind w:left="240" w:right="0" w:firstLine="0"/>
              <w:jc w:val="both"/>
            </w:pPr>
            <w:r>
              <w:rPr>
                <w:rStyle w:val="CharStyle19"/>
              </w:rPr>
              <w:t xml:space="preserve">On a demandé au Dr Morens s'il avait donné des conseils au Dr Daszak sur la façon de répondre aux demandes de surveillance des NIH, et il a répondu: «Non». Comme nous en avons discuté et comme vous l'avez vu plus tôt, le Dr Morens a personnellement rédigé une lettre.</w:t>
            </w:r>
          </w:p>
        </w:tc>
      </w:tr>
      <w:tr>
        <w:trPr>
          <w:trHeight w:val="1219" w:hRule="exact"/>
        </w:trPr>
        <w:tc>
          <w:tcPr>
            <w:gridSpan w:val="2"/>
            <w:tcBorders>
              <w:bottom w:val="single" w:sz="4"/>
            </w:tcBorders>
            <w:shd w:val="clear" w:color="auto" w:fill="auto"/>
            <w:vAlign w:val="center"/>
          </w:tcPr>
          <w:p>
            <w:pPr>
              <w:pStyle w:val="Style18"/>
              <w:keepNext w:val="0"/>
              <w:keepLines w:val="0"/>
              <w:widowControl w:val="0"/>
              <w:shd w:val="clear" w:color="auto" w:fill="auto"/>
              <w:spacing w:before="0" w:after="0" w:line="240" w:lineRule="auto"/>
              <w:ind w:left="0" w:right="0" w:firstLine="0"/>
              <w:jc w:val="center"/>
            </w:pPr>
            <w:r>
              <w:rPr>
                <w:rStyle w:val="CharStyle19"/>
              </w:rPr>
              <w:t xml:space="preserve">Page 500 sur 520</w:t>
            </w:r>
          </w:p>
        </w:tc>
      </w:tr>
    </w:tbl>
    <w:p>
      <w:pPr>
        <w:sectPr>
          <w:footerReference w:type="default" r:id="rId116"/>
          <w:footnotePr>
            <w:pos w:val="pageBottom"/>
            <w:numFmt w:val="decimal"/>
            <w:numStart w:val="1455"/>
            <w:numRestart w:val="continuous"/>
            <w15:footnoteColumns w:val="1"/>
          </w:footnotePr>
          <w:pgSz w:w="12485" w:h="16357"/>
          <w:pgMar w:top="1689" w:right="2940" w:bottom="539" w:left="2220" w:header="1261" w:footer="111" w:gutter="0"/>
          <w:pgNumType w:start="136"/>
          <w:cols w:space="720"/>
          <w:noEndnote/>
          <w:rtlGutter w:val="0"/>
          <w:docGrid w:linePitch="360"/>
        </w:sectPr>
      </w:pPr>
    </w:p>
    <w:p>
      <w:pPr>
        <w:pStyle w:val="Style24"/>
        <w:keepNext w:val="0"/>
        <w:keepLines w:val="0"/>
        <w:widowControl w:val="0"/>
        <w:shd w:val="clear" w:color="auto" w:fill="auto"/>
        <w:spacing w:before="0" w:line="264" w:lineRule="auto"/>
        <w:ind w:left="1460" w:right="1400" w:firstLine="0"/>
        <w:jc w:val="left"/>
      </w:pPr>
      <w:r>
        <w:rPr>
          <w:rStyle w:val="CharStyle25"/>
        </w:rPr>
        <w:t xml:space="preserve">pour le Dr Daszak, qui était directement lié à la surveillance d’EcoHealth par les NIH, la société au centre de toute la pandémie de COVID-19. Le Dr Morens a-t-il menti au Congrès?</w:t>
      </w:r>
    </w:p>
    <w:p>
      <w:pPr>
        <w:pStyle w:val="Style24"/>
        <w:keepNext w:val="0"/>
        <w:keepLines w:val="0"/>
        <w:widowControl w:val="0"/>
        <w:shd w:val="clear" w:color="auto" w:fill="auto"/>
        <w:tabs>
          <w:tab w:pos="1383" w:val="left"/>
        </w:tabs>
        <w:spacing w:before="0" w:line="264" w:lineRule="auto"/>
        <w:ind w:left="0" w:right="0" w:firstLine="740"/>
        <w:jc w:val="left"/>
      </w:pPr>
      <w:r>
        <w:rPr>
          <w:rStyle w:val="CharStyle25"/>
        </w:rPr>
        <w:t>A.</w:t>
        <w:tab/>
        <w:t xml:space="preserve">Encore une fois, ces types d'actions seraient tout à fait inappropriés.</w:t>
      </w:r>
    </w:p>
    <w:p>
      <w:pPr>
        <w:pStyle w:val="Style24"/>
        <w:keepNext w:val="0"/>
        <w:keepLines w:val="0"/>
        <w:widowControl w:val="0"/>
        <w:shd w:val="clear" w:color="auto" w:fill="auto"/>
        <w:tabs>
          <w:tab w:pos="1383" w:val="left"/>
        </w:tabs>
        <w:spacing w:before="0" w:after="0" w:line="259" w:lineRule="auto"/>
        <w:ind w:left="0" w:right="0" w:firstLine="740"/>
        <w:jc w:val="left"/>
      </w:pPr>
      <w:r>
        <w:rPr>
          <w:rStyle w:val="CharStyle25"/>
        </w:rPr>
        <w:t>Q.</w:t>
        <w:tab/>
        <w:t xml:space="preserve">"Oui." La réponse est "oui". La preuve est à l'écran. Il y a</w:t>
      </w:r>
    </w:p>
    <w:p>
      <w:pPr>
        <w:pStyle w:val="Style24"/>
        <w:keepNext w:val="0"/>
        <w:keepLines w:val="0"/>
        <w:widowControl w:val="0"/>
        <w:shd w:val="clear" w:color="auto" w:fill="auto"/>
        <w:spacing w:before="0" w:line="259" w:lineRule="auto"/>
        <w:ind w:left="1460" w:right="0" w:firstLine="0"/>
        <w:jc w:val="left"/>
      </w:pPr>
      <w:r>
        <w:rPr>
          <w:rStyle w:val="CharStyle25"/>
        </w:rPr>
        <w:t xml:space="preserve">La preuve que le Dr Morens a violé de nombreuses politiques des NIH et a menti au Congrès à plusieurs reprises. Dr Tabak, voulez-vous virer le Dr Morens?</w:t>
      </w:r>
    </w:p>
    <w:p>
      <w:pPr>
        <w:pStyle w:val="Style24"/>
        <w:keepNext w:val="0"/>
        <w:keepLines w:val="0"/>
        <w:widowControl w:val="0"/>
        <w:shd w:val="clear" w:color="auto" w:fill="auto"/>
        <w:spacing w:before="0" w:line="264" w:lineRule="auto"/>
        <w:ind w:left="1460" w:right="0" w:hanging="720"/>
        <w:jc w:val="left"/>
      </w:pPr>
      <w:r>
        <w:rPr>
          <w:rStyle w:val="CharStyle25"/>
        </w:rPr>
        <w:t xml:space="preserve">R. Comme vous le savez, nous ne discutons pas de questions de personnel spécifiques, mais nous suivons toutes nos procédures à la lettre.</w:t>
        <w:footnoteReference w:id="409"/>
      </w:r>
    </w:p>
    <w:p>
      <w:pPr>
        <w:pStyle w:val="Style24"/>
        <w:keepNext w:val="0"/>
        <w:keepLines w:val="0"/>
        <w:widowControl w:val="0"/>
        <w:shd w:val="clear" w:color="auto" w:fill="auto"/>
        <w:spacing w:before="0" w:after="300"/>
        <w:ind w:left="0" w:right="0" w:firstLine="740"/>
        <w:jc w:val="left"/>
      </w:pPr>
      <w:r>
        <w:rPr>
          <w:rStyle w:val="CharStyle25"/>
        </w:rPr>
        <w:t xml:space="preserve">Bien que le Dr Morens ait violé la politique des NIH à plusieurs reprises, il n'a pas été congédié. Au lieu de cela, NIH l'a placé en congé administratif payé pendant plus d'un an. Le 14 novembre 2021, près de 18 mois après que le sous-comité restreint eut rendu publiques les actions du Dr Morens, celui-ci était toujours employé par les NIH et le Dr Tabak a refusé de s’engager à le licencier. </w:t>
        <w:footnoteReference w:id="410"/>
      </w:r>
    </w:p>
    <w:p>
      <w:pPr>
        <w:pStyle w:val="Style24"/>
        <w:keepNext w:val="0"/>
        <w:keepLines w:val="0"/>
        <w:widowControl w:val="0"/>
        <w:shd w:val="clear" w:color="auto" w:fill="auto"/>
        <w:spacing w:before="0" w:after="300" w:line="264" w:lineRule="auto"/>
        <w:ind w:left="1460" w:right="0" w:hanging="1460"/>
        <w:jc w:val="left"/>
      </w:pPr>
      <w:r>
        <w:rPr>
          <w:rStyle w:val="CharStyle25"/>
        </w:rPr>
        <w:t xml:space="preserve">CONSTATATION : Le Dr David Morens a agi d'une manière indigne d'un responsable fédéral de la santé publique.</w:t>
      </w:r>
    </w:p>
    <w:p>
      <w:pPr>
        <w:pStyle w:val="Style24"/>
        <w:keepNext w:val="0"/>
        <w:keepLines w:val="0"/>
        <w:widowControl w:val="0"/>
        <w:shd w:val="clear" w:color="auto" w:fill="auto"/>
        <w:spacing w:before="0"/>
        <w:ind w:left="0" w:right="0" w:firstLine="740"/>
        <w:jc w:val="left"/>
      </w:pPr>
      <w:r>
        <w:rPr>
          <w:rStyle w:val="CharStyle25"/>
        </w:rPr>
        <w:t xml:space="preserve">Travailler en tant que leader dans le gouvernement américain devrait être une position qui est tenue avec honneur et prestige. Être en position de pouvoir, être capable d'influer sur le changement et d'aider les gens en temps de crise, doit être accepté de manière responsable avec le plus grand respect. Pourtant, au cours de cette enquête, le sous-comité spécial a examiné les preuves selon lesquelles le Dr Morens aurait abusé de manière flagrante de sa position et aurait fait des déclarations inappropriées, misogynes et grossières. Ces déclarations expriment un manque de respect pour le bureau qu'il représente et le pays qu'il sert.</w:t>
      </w:r>
    </w:p>
    <w:p>
      <w:pPr>
        <w:pStyle w:val="Style24"/>
        <w:keepNext w:val="0"/>
        <w:keepLines w:val="0"/>
        <w:widowControl w:val="0"/>
        <w:shd w:val="clear" w:color="auto" w:fill="auto"/>
        <w:spacing w:before="0" w:after="1360" w:line="264" w:lineRule="auto"/>
        <w:ind w:left="0" w:right="0" w:firstLine="740"/>
        <w:jc w:val="left"/>
      </w:pPr>
      <w:r>
        <w:rPr>
          <w:rStyle w:val="CharStyle25"/>
        </w:rPr>
        <w:t xml:space="preserve">Le 18 novembre 2021, le Dr Morens a admis qu’il avait tenté de « verser de l’eau froide sur [le Dr Walensky] » alors que le Dr Fauci lui recommandait d’être directrice du CDC, parce qu’elle « porte une jupe ».</w:t>
        <w:footnoteReference w:id="411"/>
      </w:r>
    </w:p>
    <w:p>
      <w:pPr>
        <w:pStyle w:val="Style24"/>
        <w:keepNext w:val="0"/>
        <w:keepLines w:val="0"/>
        <w:widowControl w:val="0"/>
        <w:shd w:val="clear" w:color="auto" w:fill="auto"/>
        <w:spacing w:before="0" w:line="240" w:lineRule="auto"/>
        <w:ind w:left="0" w:right="0" w:firstLine="0"/>
        <w:jc w:val="center"/>
      </w:pPr>
      <w:r>
        <w:rPr>
          <w:rStyle w:val="CharStyle25"/>
        </w:rPr>
        <w:t xml:space="preserve">[REMAINDER OF PAGE INTENTIONALLY BLANK]</w:t>
      </w:r>
    </w:p>
    <w:p>
      <w:pPr>
        <w:pStyle w:val="Style36"/>
        <w:keepNext w:val="0"/>
        <w:keepLines w:val="0"/>
        <w:widowControl w:val="0"/>
        <w:shd w:val="clear" w:color="auto" w:fill="auto"/>
        <w:spacing w:before="0" w:after="0" w:line="271" w:lineRule="auto"/>
        <w:ind w:left="0" w:right="0" w:firstLine="0"/>
        <w:jc w:val="left"/>
        <w:rPr>
          <w:sz w:val="17"/>
        </w:rPr>
      </w:pPr>
      <w:r>
        <w:rPr>
          <w:rStyle w:val="CharStyle37"/>
          <w:color w:val="303030"/>
          <w:sz w:val="17"/>
        </w:rPr>
        <w:t xml:space="preserve">Vous pouvez </w:t>
      </w:r>
      <w:r>
        <w:rPr>
          <w:rStyle w:val="CharStyle37"/>
          <w:color w:val="464648"/>
          <w:sz w:val="17"/>
        </w:rPr>
        <w:t xml:space="preserve">être </w:t>
      </w:r>
      <w:r>
        <w:rPr>
          <w:rStyle w:val="CharStyle37"/>
          <w:sz w:val="17"/>
        </w:rPr>
        <w:t xml:space="preserve"> </w:t>
      </w:r>
      <w:r>
        <w:rPr>
          <w:rStyle w:val="CharStyle37"/>
          <w:color w:val="464648"/>
          <w:sz w:val="17"/>
        </w:rPr>
        <w:t xml:space="preserve">amusé par le côté suivant qui était </w:t>
      </w:r>
      <w:r>
        <w:rPr>
          <w:rStyle w:val="CharStyle37"/>
          <w:color w:val="303030"/>
          <w:sz w:val="17"/>
        </w:rPr>
        <w:t xml:space="preserve">un gros </w:t>
      </w:r>
      <w:r>
        <w:rPr>
          <w:rStyle w:val="CharStyle37"/>
          <w:color w:val="303030"/>
          <w:sz w:val="17"/>
        </w:rPr>
        <w:t>tome</w:t>
      </w:r>
      <w:r>
        <w:rPr>
          <w:rStyle w:val="CharStyle37"/>
          <w:color w:val="464648"/>
          <w:sz w:val="17"/>
        </w:rPr>
        <w:t xml:space="preserve">surprise. </w:t>
      </w:r>
      <w:r>
        <w:rPr>
          <w:rStyle w:val="CharStyle37"/>
          <w:color w:val="303030"/>
          <w:sz w:val="17"/>
        </w:rPr>
        <w:t xml:space="preserve"> </w:t>
      </w:r>
      <w:r>
        <w:rPr>
          <w:rStyle w:val="CharStyle37"/>
          <w:color w:val="464648"/>
          <w:sz w:val="17"/>
        </w:rPr>
        <w:t xml:space="preserve">Il m'a demandé mon opinion sur ce qui </w:t>
      </w:r>
      <w:r>
        <w:rPr>
          <w:rStyle w:val="CharStyle37"/>
          <w:sz w:val="17"/>
        </w:rPr>
        <w:t xml:space="preserve"> </w:t>
      </w:r>
      <w:r>
        <w:rPr>
          <w:rStyle w:val="CharStyle37"/>
          <w:color w:val="464648"/>
          <w:sz w:val="17"/>
        </w:rPr>
        <w:t xml:space="preserve">ne va pas avec </w:t>
      </w:r>
      <w:r>
        <w:rPr>
          <w:rStyle w:val="CharStyle37"/>
          <w:sz w:val="17"/>
        </w:rPr>
        <w:t xml:space="preserve"> </w:t>
      </w:r>
      <w:r>
        <w:rPr>
          <w:rStyle w:val="CharStyle37"/>
          <w:color w:val="464648"/>
          <w:sz w:val="17"/>
        </w:rPr>
        <w:t>le</w:t>
      </w:r>
      <w:r>
        <w:rPr>
          <w:rStyle w:val="CharStyle37"/>
          <w:color w:val="303030"/>
          <w:sz w:val="17"/>
        </w:rPr>
        <w:t xml:space="preserve">CDC </w:t>
      </w:r>
      <w:r>
        <w:rPr>
          <w:rStyle w:val="CharStyle37"/>
          <w:color w:val="464648"/>
          <w:sz w:val="17"/>
        </w:rPr>
        <w:t xml:space="preserve">et dans le </w:t>
      </w:r>
      <w:r>
        <w:rPr>
          <w:rStyle w:val="CharStyle37"/>
          <w:color w:val="303030"/>
          <w:sz w:val="17"/>
        </w:rPr>
        <w:t xml:space="preserve">processus </w:t>
      </w:r>
      <w:r>
        <w:rPr>
          <w:rStyle w:val="CharStyle37"/>
          <w:sz w:val="17"/>
        </w:rPr>
        <w:t xml:space="preserve">a dit, </w:t>
      </w:r>
      <w:r>
        <w:rPr>
          <w:rStyle w:val="CharStyle37"/>
          <w:color w:val="303030"/>
          <w:sz w:val="17"/>
        </w:rPr>
        <w:t xml:space="preserve">à </w:t>
      </w:r>
      <w:r>
        <w:rPr>
          <w:rStyle w:val="CharStyle37"/>
          <w:sz w:val="17"/>
        </w:rPr>
        <w:t xml:space="preserve"> </w:t>
      </w:r>
      <w:r>
        <w:rPr>
          <w:rStyle w:val="CharStyle37"/>
          <w:color w:val="464648"/>
          <w:sz w:val="17"/>
        </w:rPr>
        <w:t xml:space="preserve">l'improviste, </w:t>
      </w:r>
      <w:r>
        <w:rPr>
          <w:rStyle w:val="CharStyle37"/>
          <w:sz w:val="17"/>
        </w:rPr>
        <w:t xml:space="preserve"> </w:t>
      </w:r>
      <w:r>
        <w:rPr>
          <w:rStyle w:val="CharStyle37"/>
          <w:color w:val="303030"/>
          <w:sz w:val="17"/>
        </w:rPr>
        <w:t xml:space="preserve">que </w:t>
      </w:r>
      <w:r>
        <w:rPr>
          <w:rStyle w:val="CharStyle37"/>
          <w:color w:val="464648"/>
          <w:sz w:val="17"/>
        </w:rPr>
        <w:t>c'est</w:t>
      </w:r>
      <w:r>
        <w:rPr>
          <w:rStyle w:val="CharStyle37"/>
          <w:color w:val="303030"/>
          <w:sz w:val="17"/>
        </w:rPr>
        <w:t xml:space="preserve"> </w:t>
      </w:r>
      <w:r>
        <w:rPr>
          <w:rStyle w:val="CharStyle37"/>
          <w:color w:val="464648"/>
          <w:sz w:val="17"/>
        </w:rPr>
        <w:t xml:space="preserve">lui qui a obtenu </w:t>
      </w:r>
      <w:r>
        <w:rPr>
          <w:rStyle w:val="CharStyle37"/>
          <w:color w:val="464648"/>
          <w:sz w:val="17"/>
        </w:rPr>
        <w:t xml:space="preserve">Rochelle Wolensky son </w:t>
      </w:r>
      <w:r>
        <w:rPr>
          <w:rStyle w:val="CharStyle37"/>
          <w:sz w:val="17"/>
        </w:rPr>
        <w:t xml:space="preserve">travail </w:t>
      </w:r>
      <w:r>
        <w:rPr>
          <w:rStyle w:val="CharStyle37"/>
          <w:color w:val="303030"/>
          <w:sz w:val="17"/>
        </w:rPr>
        <w:t xml:space="preserve">de </w:t>
      </w:r>
      <w:r>
        <w:rPr>
          <w:rStyle w:val="CharStyle37"/>
          <w:color w:val="303030"/>
          <w:sz w:val="17"/>
        </w:rPr>
        <w:t xml:space="preserve">directrice </w:t>
      </w:r>
      <w:r>
        <w:rPr>
          <w:rStyle w:val="CharStyle37"/>
          <w:color w:val="464648"/>
          <w:sz w:val="17"/>
        </w:rPr>
        <w:t xml:space="preserve">du CDC </w:t>
      </w:r>
      <w:r>
        <w:rPr>
          <w:rStyle w:val="CharStyle37"/>
          <w:color w:val="464648"/>
          <w:sz w:val="17"/>
        </w:rPr>
        <w:t xml:space="preserve">en faisant pression pour </w:t>
      </w:r>
      <w:r>
        <w:rPr>
          <w:rStyle w:val="CharStyle37"/>
          <w:color w:val="303030"/>
          <w:sz w:val="17"/>
        </w:rPr>
        <w:t xml:space="preserve">elle auprès de Ron </w:t>
      </w:r>
      <w:r>
        <w:rPr>
          <w:rStyle w:val="CharStyle37"/>
          <w:color w:val="464648"/>
          <w:sz w:val="17"/>
        </w:rPr>
        <w:t>KLain.</w:t>
      </w:r>
    </w:p>
    <w:p>
      <w:pPr>
        <w:pStyle w:val="Style36"/>
        <w:keepNext w:val="0"/>
        <w:keepLines w:val="0"/>
        <w:widowControl w:val="0"/>
        <w:shd w:val="clear" w:color="auto" w:fill="auto"/>
        <w:spacing w:before="0" w:after="0" w:line="271" w:lineRule="auto"/>
        <w:ind w:left="0" w:right="0" w:firstLine="0"/>
        <w:jc w:val="left"/>
        <w:rPr>
          <w:sz w:val="17"/>
        </w:rPr>
      </w:pPr>
      <w:r>
        <w:rPr>
          <w:rStyle w:val="CharStyle37"/>
          <w:color w:val="464648"/>
          <w:sz w:val="17"/>
        </w:rPr>
        <w:t xml:space="preserve">Elle porte une jupe... 1 </w:t>
      </w:r>
      <w:r>
        <w:rPr>
          <w:rStyle w:val="CharStyle37"/>
          <w:color w:val="303030"/>
          <w:sz w:val="17"/>
        </w:rPr>
        <w:t xml:space="preserve">a versé un peu d'eau </w:t>
      </w:r>
      <w:r>
        <w:rPr>
          <w:rStyle w:val="CharStyle37"/>
          <w:color w:val="464648"/>
          <w:sz w:val="17"/>
        </w:rPr>
        <w:t xml:space="preserve">froide sur elle</w:t>
      </w:r>
    </w:p>
    <w:p>
      <w:pPr>
        <w:pStyle w:val="Style36"/>
        <w:keepNext w:val="0"/>
        <w:keepLines w:val="0"/>
        <w:widowControl w:val="0"/>
        <w:shd w:val="clear" w:color="auto" w:fill="auto"/>
        <w:spacing w:before="0" w:after="260" w:line="271" w:lineRule="auto"/>
        <w:ind w:left="0" w:right="0" w:firstLine="0"/>
        <w:jc w:val="left"/>
        <w:rPr>
          <w:sz w:val="17"/>
        </w:rPr>
      </w:pPr>
      <w:r>
        <w:rPr>
          <w:rStyle w:val="CharStyle37"/>
          <w:color w:val="464648"/>
          <w:sz w:val="17"/>
        </w:rPr>
        <w:t xml:space="preserve">mais il n'a pas été découragé </w:t>
      </w:r>
      <w:r>
        <w:rPr>
          <w:rStyle w:val="CharStyle37"/>
          <w:color w:val="303030"/>
          <w:sz w:val="17"/>
        </w:rPr>
        <w:t xml:space="preserve">en </w:t>
      </w:r>
      <w:r>
        <w:rPr>
          <w:rStyle w:val="CharStyle37"/>
          <w:color w:val="464648"/>
          <w:sz w:val="17"/>
        </w:rPr>
        <w:t xml:space="preserve">pensant qu'elle </w:t>
      </w:r>
      <w:r>
        <w:rPr>
          <w:rStyle w:val="CharStyle37"/>
          <w:color w:val="464648"/>
          <w:sz w:val="17"/>
        </w:rPr>
        <w:t xml:space="preserve"> est le pyjama du chat .... </w:t>
      </w:r>
    </w:p>
    <w:p>
      <w:pPr>
        <w:pStyle w:val="Style27"/>
        <w:keepNext w:val="0"/>
        <w:keepLines w:val="0"/>
        <w:widowControl w:val="0"/>
        <w:shd w:val="clear" w:color="auto" w:fill="auto"/>
        <w:spacing w:before="0" w:after="0" w:line="276" w:lineRule="auto"/>
        <w:ind w:left="24" w:right="0" w:firstLine="0"/>
        <w:jc w:val="left"/>
        <w:rPr>
          <w:sz w:val="17"/>
        </w:rPr>
      </w:pPr>
      <w:r>
        <w:rPr>
          <w:rStyle w:val="CharStyle28"/>
          <w:color w:val="464648"/>
          <w:sz w:val="17"/>
        </w:rPr>
        <w:t xml:space="preserve">Son principal intérêt </w:t>
      </w:r>
      <w:r>
        <w:rPr>
          <w:rStyle w:val="CharStyle28"/>
          <w:sz w:val="17"/>
        </w:rPr>
        <w:t xml:space="preserve">pour </w:t>
      </w:r>
      <w:r>
        <w:rPr>
          <w:rStyle w:val="CharStyle28"/>
          <w:color w:val="464648"/>
          <w:sz w:val="17"/>
        </w:rPr>
        <w:t xml:space="preserve">le moment</w:t>
      </w:r>
      <w:r>
        <w:rPr>
          <w:rStyle w:val="CharStyle28"/>
          <w:color w:val="303030"/>
          <w:sz w:val="17"/>
        </w:rPr>
        <w:t xml:space="preserve">est de </w:t>
      </w:r>
      <w:r>
        <w:rPr>
          <w:rStyle w:val="CharStyle28"/>
          <w:color w:val="464648"/>
          <w:sz w:val="17"/>
        </w:rPr>
        <w:t xml:space="preserve">fabriquer des </w:t>
      </w:r>
      <w:r>
        <w:rPr>
          <w:rStyle w:val="CharStyle28"/>
          <w:color w:val="464648"/>
          <w:sz w:val="17"/>
        </w:rPr>
        <w:t xml:space="preserve">vaccins «universels» contre le coronavirus, le </w:t>
      </w:r>
      <w:r>
        <w:rPr>
          <w:rStyle w:val="CharStyle28"/>
          <w:color w:val="303030"/>
          <w:sz w:val="17"/>
        </w:rPr>
        <w:t>jeu</w:t>
      </w:r>
      <w:r>
        <w:rPr>
          <w:rStyle w:val="CharStyle28"/>
          <w:color w:val="464648"/>
          <w:sz w:val="17"/>
        </w:rPr>
        <w:t xml:space="preserve">final </w:t>
      </w:r>
      <w:r>
        <w:rPr>
          <w:rStyle w:val="CharStyle28"/>
          <w:color w:val="303030"/>
          <w:sz w:val="17"/>
        </w:rPr>
        <w:t xml:space="preserve">de la COVID-19 </w:t>
      </w:r>
      <w:r>
        <w:rPr>
          <w:rStyle w:val="CharStyle28"/>
          <w:color w:val="303030"/>
          <w:sz w:val="17"/>
        </w:rPr>
        <w:t xml:space="preserve">et des choses </w:t>
      </w:r>
      <w:r>
        <w:rPr>
          <w:rStyle w:val="CharStyle28"/>
          <w:color w:val="464648"/>
          <w:sz w:val="17"/>
        </w:rPr>
        <w:t xml:space="preserve">liées à l'immunité contre la COVID-19.</w:t>
      </w:r>
    </w:p>
    <w:p>
      <w:pPr>
        <w:pStyle w:val="Style27"/>
        <w:keepNext w:val="0"/>
        <w:keepLines w:val="0"/>
        <w:widowControl w:val="0"/>
        <w:shd w:val="clear" w:color="auto" w:fill="auto"/>
        <w:spacing w:before="0" w:after="0" w:line="276" w:lineRule="auto"/>
        <w:ind w:left="24" w:right="0" w:firstLine="0"/>
        <w:jc w:val="left"/>
        <w:rPr>
          <w:sz w:val="17"/>
        </w:rPr>
      </w:pPr>
      <w:r>
        <w:rPr>
          <w:rStyle w:val="CharStyle28"/>
          <w:color w:val="464648"/>
          <w:sz w:val="17"/>
        </w:rPr>
        <w:t>Il</w:t>
      </w:r>
      <w:r>
        <w:rPr>
          <w:rStyle w:val="CharStyle28"/>
          <w:color w:val="303030"/>
          <w:sz w:val="17"/>
        </w:rPr>
        <w:t xml:space="preserve">m'a </w:t>
      </w:r>
      <w:r>
        <w:rPr>
          <w:rStyle w:val="CharStyle28"/>
          <w:color w:val="464648"/>
          <w:sz w:val="17"/>
        </w:rPr>
        <w:t xml:space="preserve">demandé </w:t>
      </w:r>
      <w:r>
        <w:rPr>
          <w:rStyle w:val="CharStyle28"/>
          <w:color w:val="464648"/>
          <w:sz w:val="17"/>
        </w:rPr>
        <w:t xml:space="preserve">de co-écrire avec lui </w:t>
      </w:r>
      <w:r>
        <w:rPr>
          <w:rStyle w:val="CharStyle28"/>
          <w:sz w:val="17"/>
        </w:rPr>
        <w:t xml:space="preserve">2 </w:t>
      </w:r>
      <w:r>
        <w:rPr>
          <w:rStyle w:val="CharStyle28"/>
          <w:color w:val="303030"/>
          <w:sz w:val="17"/>
        </w:rPr>
        <w:t xml:space="preserve">ou </w:t>
      </w:r>
      <w:r>
        <w:rPr>
          <w:rStyle w:val="CharStyle28"/>
          <w:sz w:val="17"/>
        </w:rPr>
        <w:t xml:space="preserve">3 </w:t>
      </w:r>
      <w:r>
        <w:rPr>
          <w:rStyle w:val="CharStyle28"/>
          <w:color w:val="464648"/>
          <w:sz w:val="17"/>
        </w:rPr>
        <w:t xml:space="preserve">articles </w:t>
      </w:r>
      <w:r>
        <w:rPr>
          <w:rStyle w:val="CharStyle28"/>
          <w:sz w:val="17"/>
        </w:rPr>
        <w:t xml:space="preserve">sur </w:t>
      </w:r>
      <w:r>
        <w:rPr>
          <w:rStyle w:val="CharStyle28"/>
          <w:color w:val="303030"/>
          <w:sz w:val="17"/>
        </w:rPr>
        <w:t xml:space="preserve">ces </w:t>
      </w:r>
      <w:r>
        <w:rPr>
          <w:rStyle w:val="CharStyle28"/>
          <w:color w:val="464648"/>
          <w:sz w:val="17"/>
        </w:rPr>
        <w:t xml:space="preserve">sujets, cela étant dans </w:t>
      </w:r>
      <w:r>
        <w:rPr>
          <w:rStyle w:val="CharStyle28"/>
          <w:sz w:val="17"/>
        </w:rPr>
        <w:t xml:space="preserve"> </w:t>
      </w:r>
      <w:r>
        <w:rPr>
          <w:rStyle w:val="CharStyle28"/>
          <w:color w:val="464648"/>
          <w:sz w:val="17"/>
        </w:rPr>
        <w:t xml:space="preserve">le contexte de lui donner des idées </w:t>
      </w:r>
      <w:r>
        <w:rPr>
          <w:rStyle w:val="CharStyle28"/>
          <w:color w:val="303030"/>
          <w:sz w:val="17"/>
        </w:rPr>
        <w:t xml:space="preserve">pour </w:t>
      </w:r>
      <w:r>
        <w:rPr>
          <w:rStyle w:val="CharStyle28"/>
          <w:color w:val="464648"/>
          <w:sz w:val="17"/>
        </w:rPr>
        <w:t xml:space="preserve">communiquer </w:t>
      </w:r>
      <w:r>
        <w:rPr>
          <w:rStyle w:val="CharStyle28"/>
          <w:color w:val="303030"/>
          <w:sz w:val="17"/>
        </w:rPr>
        <w:t xml:space="preserve">dans </w:t>
      </w:r>
      <w:r>
        <w:rPr>
          <w:rStyle w:val="CharStyle28"/>
          <w:sz w:val="17"/>
        </w:rPr>
        <w:t>ses</w:t>
      </w:r>
      <w:r>
        <w:rPr>
          <w:rStyle w:val="CharStyle28"/>
          <w:color w:val="464648"/>
          <w:sz w:val="17"/>
        </w:rPr>
        <w:t xml:space="preserve">conférences </w:t>
      </w:r>
      <w:r>
        <w:rPr>
          <w:rStyle w:val="CharStyle28"/>
          <w:color w:val="464648"/>
          <w:sz w:val="17"/>
        </w:rPr>
        <w:t xml:space="preserve">de presse </w:t>
      </w:r>
      <w:r>
        <w:rPr>
          <w:rStyle w:val="CharStyle28"/>
          <w:color w:val="464648"/>
          <w:sz w:val="17"/>
        </w:rPr>
        <w:t xml:space="preserve">hebdomadaires </w:t>
      </w:r>
      <w:r>
        <w:rPr>
          <w:rStyle w:val="CharStyle28"/>
          <w:color w:val="303030"/>
          <w:sz w:val="17"/>
        </w:rPr>
        <w:t xml:space="preserve">WH </w:t>
      </w:r>
      <w:r>
        <w:rPr>
          <w:rStyle w:val="CharStyle28"/>
          <w:color w:val="303030"/>
          <w:sz w:val="17"/>
        </w:rPr>
        <w:t xml:space="preserve">et </w:t>
      </w:r>
      <w:r>
        <w:rPr>
          <w:rStyle w:val="CharStyle28"/>
          <w:color w:val="464648"/>
          <w:sz w:val="17"/>
        </w:rPr>
        <w:t xml:space="preserve">de rencontrer </w:t>
      </w:r>
      <w:r>
        <w:rPr>
          <w:rStyle w:val="CharStyle28"/>
          <w:color w:val="303030"/>
          <w:sz w:val="17"/>
        </w:rPr>
        <w:t xml:space="preserve">régulièrement </w:t>
      </w:r>
      <w:r>
        <w:rPr>
          <w:rStyle w:val="CharStyle28"/>
          <w:color w:val="464648"/>
          <w:sz w:val="17"/>
        </w:rPr>
        <w:t xml:space="preserve"> </w:t>
      </w:r>
      <w:r>
        <w:rPr>
          <w:rStyle w:val="CharStyle28"/>
          <w:color w:val="303030"/>
          <w:sz w:val="17"/>
        </w:rPr>
        <w:t xml:space="preserve">les hauts gradés de</w:t>
      </w:r>
      <w:r>
        <w:rPr>
          <w:rStyle w:val="CharStyle28"/>
          <w:color w:val="303030"/>
          <w:sz w:val="17"/>
        </w:rPr>
        <w:t xml:space="preserve">Biden, </w:t>
      </w:r>
      <w:r>
        <w:rPr>
          <w:rStyle w:val="CharStyle28"/>
          <w:color w:val="303030"/>
          <w:sz w:val="17"/>
        </w:rPr>
        <w:t xml:space="preserve"> </w:t>
      </w:r>
      <w:r>
        <w:rPr>
          <w:rStyle w:val="CharStyle28"/>
          <w:color w:val="464648"/>
          <w:sz w:val="17"/>
        </w:rPr>
        <w:t xml:space="preserve">en plus d'être</w:t>
      </w:r>
      <w:r>
        <w:rPr>
          <w:rStyle w:val="CharStyle28"/>
          <w:color w:val="464648"/>
          <w:sz w:val="17"/>
        </w:rPr>
        <w:t xml:space="preserve"> à la télévision. </w:t>
      </w:r>
    </w:p>
    <w:p>
      <w:pPr>
        <w:widowControl w:val="0"/>
        <w:jc w:val="center"/>
        <w:rPr>
          <w:sz w:val="2"/>
        </w:rPr>
      </w:pPr>
      <w:r>
        <w:drawing>
          <wp:inline>
            <wp:extent cx="4937760" cy="1103630"/>
            <wp:docPr id="223" name="Picutre 223"/>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17"/>
                    <a:stretch/>
                  </pic:blipFill>
                  <pic:spPr>
                    <a:xfrm>
                      <a:ext cx="4937760" cy="1103630"/>
                    </a:xfrm>
                    <a:prstGeom prst="rect"/>
                  </pic:spPr>
                </pic:pic>
              </a:graphicData>
            </a:graphic>
          </wp:inline>
        </w:drawing>
      </w:r>
    </w:p>
    <w:p>
      <w:pPr>
        <w:pStyle w:val="Style27"/>
        <w:keepNext w:val="0"/>
        <w:keepLines w:val="0"/>
        <w:widowControl w:val="0"/>
        <w:shd w:val="clear" w:color="auto" w:fill="auto"/>
        <w:spacing w:before="0" w:after="0" w:line="283" w:lineRule="auto"/>
        <w:ind w:left="24" w:right="0" w:firstLine="0"/>
        <w:jc w:val="left"/>
        <w:rPr>
          <w:sz w:val="17"/>
        </w:rPr>
      </w:pPr>
      <w:r>
        <w:rPr>
          <w:rStyle w:val="CharStyle28"/>
          <w:color w:val="464648"/>
          <w:sz w:val="17"/>
        </w:rPr>
        <w:t xml:space="preserve">IMPORTANT : Mon gmail </w:t>
      </w:r>
      <w:r>
        <w:rPr>
          <w:rStyle w:val="CharStyle28"/>
          <w:color w:val="303030"/>
          <w:sz w:val="17"/>
        </w:rPr>
        <w:t xml:space="preserve">envoie fréquemment des messages entrants </w:t>
      </w:r>
      <w:r>
        <w:rPr>
          <w:rStyle w:val="CharStyle28"/>
          <w:color w:val="464648"/>
          <w:sz w:val="17"/>
        </w:rPr>
        <w:t xml:space="preserve">à la corbeille, </w:t>
      </w:r>
      <w:r>
        <w:rPr>
          <w:rStyle w:val="CharStyle28"/>
          <w:color w:val="303030"/>
          <w:sz w:val="17"/>
        </w:rPr>
        <w:t xml:space="preserve">ce qui </w:t>
      </w:r>
      <w:r>
        <w:rPr>
          <w:rStyle w:val="CharStyle28"/>
          <w:color w:val="464648"/>
          <w:sz w:val="17"/>
        </w:rPr>
        <w:t xml:space="preserve">n'est </w:t>
      </w:r>
      <w:r>
        <w:rPr>
          <w:rStyle w:val="CharStyle28"/>
          <w:color w:val="303030"/>
          <w:sz w:val="17"/>
        </w:rPr>
        <w:t xml:space="preserve">apparemment </w:t>
      </w:r>
      <w:r>
        <w:rPr>
          <w:rStyle w:val="CharStyle28"/>
          <w:color w:val="464648"/>
          <w:sz w:val="17"/>
        </w:rPr>
        <w:t xml:space="preserve">pas correct. Si vous n'avez pas </w:t>
      </w:r>
      <w:r>
        <w:rPr>
          <w:rStyle w:val="CharStyle28"/>
          <w:color w:val="303030"/>
          <w:sz w:val="17"/>
        </w:rPr>
        <w:t xml:space="preserve">de nouvelles de </w:t>
      </w:r>
      <w:r>
        <w:rPr>
          <w:rStyle w:val="CharStyle28"/>
          <w:color w:val="464648"/>
          <w:sz w:val="17"/>
        </w:rPr>
        <w:t xml:space="preserve">moi dans un délai raisonnable, veuillez réessayer, </w:t>
      </w:r>
      <w:r>
        <w:rPr>
          <w:rStyle w:val="CharStyle28"/>
          <w:color w:val="303030"/>
          <w:sz w:val="17"/>
        </w:rPr>
        <w:t xml:space="preserve">appeler ou </w:t>
      </w:r>
      <w:r>
        <w:rPr>
          <w:rStyle w:val="CharStyle28"/>
          <w:color w:val="464648"/>
          <w:sz w:val="17"/>
        </w:rPr>
        <w:t xml:space="preserve">utiliser mon adresse </w:t>
      </w:r>
      <w:r>
        <w:rPr>
          <w:rStyle w:val="CharStyle28"/>
          <w:color w:val="303030"/>
          <w:sz w:val="17"/>
        </w:rPr>
        <w:t xml:space="preserve">e-mail NIH </w:t>
      </w:r>
    </w:p>
    <w:p>
      <w:pPr>
        <w:widowControl w:val="0"/>
        <w:spacing w:after="259" w:line="1" w:lineRule="exact"/>
      </w:pPr>
    </w:p>
    <w:p>
      <w:pPr>
        <w:pStyle w:val="Style36"/>
        <w:keepNext w:val="0"/>
        <w:keepLines w:val="0"/>
        <w:widowControl w:val="0"/>
        <w:shd w:val="clear" w:color="auto" w:fill="auto"/>
        <w:spacing w:before="0" w:after="380" w:line="283" w:lineRule="auto"/>
        <w:ind w:left="0" w:right="0" w:firstLine="0"/>
        <w:jc w:val="left"/>
        <w:rPr>
          <w:sz w:val="17"/>
        </w:rPr>
      </w:pPr>
      <w:r>
        <w:rPr>
          <w:rStyle w:val="CharStyle37"/>
          <w:color w:val="464648"/>
          <w:sz w:val="17"/>
        </w:rPr>
        <w:t xml:space="preserve">IMPORTANT : Pour les e-mails liés au gouvernement américain, veuillez également répondre à mon adresse </w:t>
      </w:r>
      <w:r>
        <w:rPr>
          <w:rStyle w:val="CharStyle37"/>
          <w:color w:val="303030"/>
          <w:sz w:val="17"/>
        </w:rPr>
        <w:t xml:space="preserve">NIA1D </w:t>
      </w:r>
    </w:p>
    <w:p>
      <w:pPr>
        <w:pStyle w:val="Style24"/>
        <w:keepNext w:val="0"/>
        <w:keepLines w:val="0"/>
        <w:widowControl w:val="0"/>
        <w:shd w:val="clear" w:color="auto" w:fill="auto"/>
        <w:spacing w:before="0" w:line="264" w:lineRule="auto"/>
        <w:ind w:left="0" w:right="0" w:firstLine="740"/>
        <w:jc w:val="left"/>
      </w:pPr>
      <w:r>
        <w:rPr>
          <w:rStyle w:val="CharStyle25"/>
        </w:rPr>
        <w:t xml:space="preserve">Le 22 mai 2024, lors de l’audition publique du sous-comité restreint avec le Dr Morens, le Dr Morens a affirmé qu’il s’agissait d’«une blague sarcastique», mais a admis qu’elle était en effet «misogyne». </w:t>
        <w:footnoteReference w:id="412"/>
      </w:r>
    </w:p>
    <w:p>
      <w:pPr>
        <w:pStyle w:val="Style24"/>
        <w:keepNext w:val="0"/>
        <w:keepLines w:val="0"/>
        <w:widowControl w:val="0"/>
        <w:shd w:val="clear" w:color="auto" w:fill="auto"/>
        <w:spacing w:before="0"/>
        <w:ind w:left="0" w:right="0" w:firstLine="740"/>
        <w:jc w:val="left"/>
      </w:pPr>
      <w:r>
        <w:rPr>
          <w:rStyle w:val="CharStyle25"/>
          <w:u w:val="single"/>
        </w:rPr>
        <w:t xml:space="preserve">Dr David Morens (22 mai 2024)</w:t>
      </w:r>
    </w:p>
    <w:p>
      <w:pPr>
        <w:pStyle w:val="Style24"/>
        <w:keepNext w:val="0"/>
        <w:keepLines w:val="0"/>
        <w:widowControl w:val="0"/>
        <w:shd w:val="clear" w:color="auto" w:fill="auto"/>
        <w:spacing w:before="0"/>
        <w:ind w:left="1460" w:right="0" w:hanging="720"/>
        <w:jc w:val="both"/>
      </w:pPr>
      <w:r>
        <w:rPr>
          <w:rStyle w:val="CharStyle25"/>
        </w:rPr>
        <w:t xml:space="preserve">Q. Maintenant, j'ai eu des divergences, des divergences politiques et scientifiques, avec le Dr Walensky. Je ne suis pas d'accord avec elle sur l'immunité acquise par infection. Je ne suis pas d'accord avec elle sur la fermeture des écoles. Je ne suis pas d’accord avec elle sur le manque de transparence des effets indésirables des vaccins contre la COVID-19. Je m'y attendais quand j'étais à l'école de médecine en 1982, et je peux comprendre l'embarras d'avoir des courriels personnels partagés, mais vous faisiez des choses liées au travail sur vos courriels personnels que vous auriez commentés dans un courriel. Le Dr Fauci a obtenu de Rochelle Walensky son poste de directrice du CDC en faisant pression pour elle auprès de Ron Klain. Elle porte une jupe. J'ai versé un peu d'eau froide sur elle, mais il n'a pas été découragé en pensant qu'elle est le pyjama du chat. Alors laissez-moi juste dire, suis-je le pyjama du chat? Savez-vous combien de femmes siègent à ce sous-comité? Savez-vous ce qu'il faut pour qu'une de ces femmes soit élue au Congrès, parce que je trouve vos commentaires dégoûtants. Vous avez eu une carrière illustre, une piste incroyable pour arriver là où vous êtes. On vous confie l'un des postes les plus élevés du gouvernement pour lutter contre la crise de santé publique, et au lieu de faire votre travail, vous êtes trop occupé à vous soucier d'éviter les FOIA et de contester la position de quelqu'un parce qu'il portait une jupe. Le peuple américain mérite beaucoup mieux dans ses fonctionnaires. Nous n'avons pas à nous soucier de votre tentative d'éviter les FOIA ou de la qualité de votre matelas, très franchement, monsieur. Vous devriez avoir honte de votre caractère et être embarrassé. Je suis heureux que vous soyez, et vous devriez en fait, présenter des excuses à ce sous-comité, au Congrès et à notre nation. Avec ça, je cède.</w:t>
      </w:r>
    </w:p>
    <w:p>
      <w:pPr>
        <w:pStyle w:val="Style24"/>
        <w:keepNext w:val="0"/>
        <w:keepLines w:val="0"/>
        <w:widowControl w:val="0"/>
        <w:shd w:val="clear" w:color="auto" w:fill="auto"/>
        <w:spacing w:before="0" w:line="264" w:lineRule="auto"/>
        <w:ind w:left="1460" w:right="0" w:hanging="720"/>
        <w:jc w:val="both"/>
      </w:pPr>
      <w:r>
        <w:rPr>
          <w:rStyle w:val="CharStyle25"/>
        </w:rPr>
        <w:t xml:space="preserve">R. Je voudrais m'excuser auprès de vous et du Comité. C’est une déclaration misogyne et, vous savez, c’était la même plaisanterie grincheuse, mais permettez-moi de dire que j’ai été un défenseur:</w:t>
      </w:r>
    </w:p>
    <w:p>
      <w:pPr>
        <w:pStyle w:val="Style24"/>
        <w:keepNext w:val="0"/>
        <w:keepLines w:val="0"/>
        <w:widowControl w:val="0"/>
        <w:shd w:val="clear" w:color="auto" w:fill="auto"/>
        <w:spacing w:before="0"/>
        <w:ind w:left="1460" w:right="0" w:hanging="720"/>
        <w:jc w:val="both"/>
      </w:pPr>
      <w:r>
        <w:rPr>
          <w:rStyle w:val="CharStyle25"/>
        </w:rPr>
        <w:t xml:space="preserve">Q. Monsieur, ce n'est pas une blague sarcastique. C'est un comportement sous-jacent qui indique comment vous abordez les femmes et comment vous pensez des femmes, et c'est dégoûtant.</w:t>
        <w:footnoteReference w:id="413"/>
      </w:r>
    </w:p>
    <w:p>
      <w:pPr>
        <w:pStyle w:val="Style24"/>
        <w:keepNext w:val="0"/>
        <w:keepLines w:val="0"/>
        <w:widowControl w:val="0"/>
        <w:shd w:val="clear" w:color="auto" w:fill="auto"/>
        <w:spacing w:before="0" w:after="360"/>
        <w:ind w:left="0" w:right="0" w:firstLine="740"/>
        <w:jc w:val="left"/>
      </w:pPr>
      <w:r>
        <w:rPr>
          <w:rStyle w:val="CharStyle25"/>
        </w:rPr>
        <w:t xml:space="preserve">Dans cet échange, la députée Mariannette Miller-Meeks (R-IA) mentionne également la «qualité du matelas [du Dr Morens]».</w:t>
        <w:footnoteReference w:id="414"/>
        <w:t xml:space="preserve"> Il s’agit d’une référence à une autre remarque faite par le Dr Morens par courrier électronique. Le courriel a été envoyé par le Dr Morens de son Gmail personnel à un groupe de destinataires qui comprenait des collègues du NIH et du NIAID. Plus précisément, le Dr Morens a indiqué qu’il prévoyait de célébrer sa soumission d’un manuscrit en obtenant «un matelas qui prendra plus d’un martèlement» tant qu’il aurait «la chance de trouver une petite amie». </w:t>
        <w:footnoteReference w:id="415"/>
      </w:r>
    </w:p>
    <w:p>
      <w:pPr>
        <w:pStyle w:val="Style18"/>
        <w:keepNext w:val="0"/>
        <w:keepLines w:val="0"/>
        <w:widowControl w:val="0"/>
        <w:shd w:val="clear" w:color="auto" w:fill="auto"/>
        <w:tabs>
          <w:tab w:pos="2817" w:val="left"/>
        </w:tabs>
        <w:spacing w:before="0" w:after="0" w:line="259" w:lineRule="auto"/>
        <w:ind w:left="0" w:right="0" w:firstLine="340"/>
        <w:jc w:val="left"/>
        <w:rPr>
          <w:sz w:val="16"/>
        </w:rPr>
      </w:pPr>
      <w:r>
        <w:rPr>
          <w:rStyle w:val="CharStyle19"/>
          <w:color w:val="303030"/>
          <w:sz w:val="16"/>
        </w:rPr>
        <w:t xml:space="preserve">À partir de: </w:t>
      </w:r>
      <w:r>
        <w:rPr>
          <w:rStyle w:val="CharStyle19"/>
          <w:color w:val="464648"/>
          <w:sz w:val="16"/>
        </w:rPr>
        <w:t xml:space="preserve">David </w:t>
      </w:r>
      <w:r>
        <w:rPr>
          <w:rStyle w:val="CharStyle19"/>
          <w:color w:val="303030"/>
          <w:sz w:val="16"/>
        </w:rPr>
        <w:t xml:space="preserve">Morens (acteur) </w:t>
      </w:r>
      <w:r>
        <w:rPr>
          <w:rStyle w:val="CharStyle19"/>
          <w:color w:val="464648"/>
          <w:sz w:val="16"/>
        </w:rPr>
        <w:t>gmail.com</w:t>
      </w:r>
      <w:r>
        <w:rPr>
          <w:rStyle w:val="CharStyle19"/>
          <w:color w:val="838481"/>
          <w:sz w:val="16"/>
        </w:rPr>
        <w:t>&gt;</w:t>
      </w:r>
    </w:p>
    <w:p>
      <w:pPr>
        <w:pStyle w:val="Style18"/>
        <w:keepNext w:val="0"/>
        <w:keepLines w:val="0"/>
        <w:widowControl w:val="0"/>
        <w:shd w:val="clear" w:color="auto" w:fill="auto"/>
        <w:spacing w:before="0" w:after="0" w:line="187" w:lineRule="auto"/>
        <w:ind w:left="0" w:right="0" w:firstLine="340"/>
        <w:jc w:val="left"/>
        <w:rPr>
          <w:sz w:val="16"/>
        </w:rPr>
      </w:pPr>
      <w:r>
        <w:rPr>
          <w:rStyle w:val="CharStyle19"/>
          <w:color w:val="303030"/>
        </w:rPr>
        <w:t xml:space="preserve">Envoyé: </w:t>
      </w:r>
      <w:r>
        <w:rPr>
          <w:rStyle w:val="CharStyle19"/>
          <w:color w:val="464648"/>
          <w:sz w:val="16"/>
        </w:rPr>
        <w:t xml:space="preserve">Mercredi 22 juillet 2020 17:59</w:t>
      </w:r>
    </w:p>
    <w:p>
      <w:pPr>
        <w:pStyle w:val="Style18"/>
        <w:keepNext w:val="0"/>
        <w:keepLines w:val="0"/>
        <w:widowControl w:val="0"/>
        <w:shd w:val="clear" w:color="auto" w:fill="auto"/>
        <w:spacing w:before="0" w:after="0" w:line="187" w:lineRule="auto"/>
        <w:ind w:left="0" w:right="0" w:firstLine="340"/>
        <w:jc w:val="left"/>
        <w:rPr>
          <w:sz w:val="16"/>
        </w:rPr>
      </w:pPr>
      <w:r>
        <w:rPr>
          <w:rStyle w:val="CharStyle19"/>
          <w:color w:val="303030"/>
        </w:rPr>
        <w:t xml:space="preserve">À l'attention de: </w:t>
      </w:r>
      <w:r>
        <w:rPr>
          <w:rStyle w:val="CharStyle19"/>
          <w:color w:val="464648"/>
          <w:sz w:val="16"/>
          <w:u w:val="single"/>
        </w:rPr>
        <w:t xml:space="preserve">Keusch et Gerald T.</w:t>
      </w:r>
    </w:p>
    <w:p>
      <w:pPr>
        <w:pStyle w:val="Style18"/>
        <w:keepNext w:val="0"/>
        <w:keepLines w:val="0"/>
        <w:widowControl w:val="0"/>
        <w:shd w:val="clear" w:color="auto" w:fill="auto"/>
        <w:tabs>
          <w:tab w:pos="6652" w:val="left"/>
        </w:tabs>
        <w:spacing w:before="0" w:after="0" w:line="259" w:lineRule="auto"/>
        <w:ind w:left="0" w:right="0" w:firstLine="340"/>
        <w:jc w:val="left"/>
        <w:rPr>
          <w:sz w:val="16"/>
        </w:rPr>
      </w:pPr>
      <w:r>
        <w:rPr>
          <w:rStyle w:val="CharStyle19"/>
          <w:color w:val="303030"/>
          <w:sz w:val="16"/>
        </w:rPr>
        <w:t xml:space="preserve">Cc : </w:t>
      </w:r>
      <w:r>
        <w:rPr>
          <w:rStyle w:val="CharStyle19"/>
          <w:sz w:val="16"/>
        </w:rPr>
        <w:t xml:space="preserve">^^^^^^^^^^^^^lorens^avitHNIH/NIAID) </w:t>
      </w:r>
      <w:r>
        <w:rPr>
          <w:rStyle w:val="CharStyle19"/>
          <w:color w:val="464648"/>
          <w:sz w:val="16"/>
        </w:rPr>
        <w:t xml:space="preserve">[E] </w:t>
      </w:r>
      <w:r>
        <w:rPr>
          <w:rStyle w:val="CharStyle19"/>
          <w:color w:val="464648"/>
          <w:sz w:val="16"/>
          <w:u w:val="single"/>
        </w:rPr>
        <w:t xml:space="preserve">Tan ben ceinture. Jeffery</w:t>
      </w:r>
    </w:p>
    <w:p>
      <w:pPr>
        <w:pStyle w:val="Style36"/>
        <w:keepNext w:val="0"/>
        <w:keepLines w:val="0"/>
        <w:widowControl w:val="0"/>
        <w:shd w:val="clear" w:color="auto" w:fill="auto"/>
        <w:spacing w:before="0" w:after="80" w:line="240" w:lineRule="auto"/>
        <w:ind w:left="0" w:right="0" w:firstLine="340"/>
        <w:jc w:val="left"/>
        <w:rPr>
          <w:sz w:val="15"/>
        </w:rPr>
      </w:pPr>
      <w:r>
        <w:rPr>
          <w:rStyle w:val="CharStyle37"/>
          <w:color w:val="000000"/>
          <w:sz w:val="17"/>
        </w:rPr>
        <w:t xml:space="preserve">(NIH/NIAIDn^^^^^H^^^^^|&gt;: </w:t>
      </w:r>
      <w:r>
        <w:rPr>
          <w:rStyle w:val="CharStyle37"/>
          <w:color w:val="464648"/>
          <w:sz w:val="15"/>
        </w:rPr>
        <w:t xml:space="preserve">Breman, J</w:t>
      </w:r>
      <w:r>
        <w:rPr>
          <w:rStyle w:val="CharStyle37"/>
          <w:color w:val="464648"/>
          <w:sz w:val="15"/>
          <w:u w:val="single"/>
        </w:rPr>
        <w:t xml:space="preserve">oel </w:t>
      </w:r>
      <w:r>
        <w:rPr>
          <w:rStyle w:val="CharStyle37"/>
          <w:color w:val="000000"/>
          <w:sz w:val="15"/>
          <w:u w:val="single"/>
        </w:rPr>
        <w:t>(NIELTICHVI^^M^M^M^M</w:t>
      </w:r>
      <w:r>
        <w:rPr>
          <w:rStyle w:val="CharStyle37"/>
          <w:color w:val="000000"/>
          <w:sz w:val="15"/>
        </w:rPr>
        <w:t xml:space="preserve"> </w:t>
      </w:r>
      <w:r>
        <w:rPr>
          <w:rStyle w:val="CharStyle37"/>
          <w:color w:val="464648"/>
          <w:sz w:val="15"/>
        </w:rPr>
        <w:t>Tom</w:t>
      </w:r>
    </w:p>
    <w:p>
      <w:pPr>
        <w:pStyle w:val="Style18"/>
        <w:keepNext w:val="0"/>
        <w:keepLines w:val="0"/>
        <w:widowControl w:val="0"/>
        <w:shd w:val="clear" w:color="auto" w:fill="auto"/>
        <w:spacing w:before="0" w:after="180" w:line="259" w:lineRule="auto"/>
        <w:ind w:left="0" w:right="0" w:firstLine="0"/>
        <w:jc w:val="center"/>
        <w:rPr>
          <w:sz w:val="16"/>
        </w:rPr>
      </w:pPr>
      <w:r>
        <w:rPr>
          <w:rStyle w:val="CharStyle19"/>
          <w:sz w:val="16"/>
        </w:rPr>
        <w:t>^^J^^^^^^^^Hann^eatnce</w:t>
      </w:r>
    </w:p>
    <w:p>
      <w:pPr>
        <w:pStyle w:val="Style18"/>
        <w:keepNext w:val="0"/>
        <w:keepLines w:val="0"/>
        <w:widowControl w:val="0"/>
        <w:shd w:val="clear" w:color="auto" w:fill="auto"/>
        <w:spacing w:before="0" w:after="180" w:line="187" w:lineRule="auto"/>
        <w:ind w:left="0" w:right="0" w:firstLine="340"/>
        <w:jc w:val="left"/>
        <w:rPr>
          <w:sz w:val="16"/>
        </w:rPr>
      </w:pPr>
      <w:r>
        <w:rPr>
          <w:rStyle w:val="CharStyle19"/>
          <w:color w:val="303030"/>
        </w:rPr>
        <w:t xml:space="preserve">Objet: </w:t>
      </w:r>
      <w:r>
        <w:rPr>
          <w:rStyle w:val="CharStyle19"/>
          <w:color w:val="464648"/>
          <w:sz w:val="16"/>
        </w:rPr>
        <w:t xml:space="preserve">En ce qui concerne: Merci! et </w:t>
      </w:r>
      <w:r>
        <w:rPr>
          <w:rStyle w:val="CharStyle19"/>
          <w:color w:val="303030"/>
          <w:sz w:val="16"/>
        </w:rPr>
        <w:t xml:space="preserve">quelques </w:t>
      </w:r>
      <w:r>
        <w:rPr>
          <w:rStyle w:val="CharStyle19"/>
          <w:color w:val="464648"/>
          <w:sz w:val="16"/>
        </w:rPr>
        <w:t xml:space="preserve">demandes.... </w:t>
      </w:r>
      <w:r>
        <w:rPr>
          <w:rStyle w:val="CharStyle19"/>
          <w:color w:val="303030"/>
          <w:sz w:val="16"/>
        </w:rPr>
        <w:t xml:space="preserve">FW : </w:t>
      </w:r>
      <w:r>
        <w:rPr>
          <w:rStyle w:val="CharStyle19"/>
          <w:color w:val="464648"/>
          <w:sz w:val="16"/>
        </w:rPr>
        <w:t xml:space="preserve">Manuscrit soumis </w:t>
      </w:r>
      <w:r>
        <w:rPr>
          <w:rStyle w:val="CharStyle19"/>
          <w:color w:val="303030"/>
          <w:sz w:val="16"/>
        </w:rPr>
        <w:t xml:space="preserve">- </w:t>
      </w:r>
      <w:r>
        <w:rPr>
          <w:rStyle w:val="CharStyle19"/>
          <w:color w:val="464648"/>
          <w:sz w:val="16"/>
        </w:rPr>
        <w:t>AJTMH-20-0849</w:t>
      </w:r>
    </w:p>
    <w:p>
      <w:pPr>
        <w:pStyle w:val="Style18"/>
        <w:keepNext w:val="0"/>
        <w:keepLines w:val="0"/>
        <w:widowControl w:val="0"/>
        <w:shd w:val="clear" w:color="auto" w:fill="auto"/>
        <w:spacing w:before="0" w:after="900" w:line="259" w:lineRule="auto"/>
        <w:ind w:left="340" w:right="0" w:firstLine="20"/>
        <w:jc w:val="left"/>
        <w:rPr>
          <w:sz w:val="16"/>
        </w:rPr>
      </w:pPr>
      <w:r>
        <w:rPr>
          <w:rStyle w:val="CharStyle19"/>
          <w:color w:val="838481"/>
          <w:sz w:val="16"/>
        </w:rPr>
        <w:t xml:space="preserve">Je </w:t>
      </w:r>
      <w:r>
        <w:rPr>
          <w:rStyle w:val="CharStyle19"/>
          <w:color w:val="464648"/>
          <w:sz w:val="16"/>
        </w:rPr>
        <w:t xml:space="preserve">suis en train d'imbiber un double, ou est-ce un triple ???, martini en ce moment. Je ne suis pas sûr de la quantité d'EtOH </w:t>
      </w:r>
      <w:r>
        <w:rPr>
          <w:rStyle w:val="CharStyle19"/>
          <w:color w:val="303030"/>
          <w:sz w:val="16"/>
        </w:rPr>
        <w:t xml:space="preserve"> </w:t>
      </w:r>
      <w:r>
        <w:rPr>
          <w:rStyle w:val="CharStyle19"/>
          <w:color w:val="464648"/>
          <w:sz w:val="16"/>
        </w:rPr>
        <w:t xml:space="preserve">parce que je viens de verser jusqu'à ce que mon coude soit douloureux. Mais l'olive au fond est difficile </w:t>
      </w:r>
      <w:r>
        <w:rPr>
          <w:rStyle w:val="CharStyle19"/>
          <w:color w:val="303030"/>
          <w:sz w:val="16"/>
        </w:rPr>
        <w:t xml:space="preserve">à </w:t>
      </w:r>
      <w:r>
        <w:rPr>
          <w:rStyle w:val="CharStyle19"/>
          <w:color w:val="464648"/>
          <w:sz w:val="16"/>
        </w:rPr>
        <w:t xml:space="preserve">voir. Pas de bain à remous dans </w:t>
      </w:r>
      <w:r>
        <w:rPr>
          <w:rStyle w:val="CharStyle19"/>
          <w:color w:val="303030"/>
          <w:sz w:val="16"/>
        </w:rPr>
        <w:t xml:space="preserve">mon </w:t>
      </w:r>
      <w:r>
        <w:rPr>
          <w:rStyle w:val="CharStyle19"/>
          <w:color w:val="464648"/>
          <w:sz w:val="16"/>
        </w:rPr>
        <w:t xml:space="preserve">appartement. </w:t>
      </w:r>
      <w:r>
        <w:rPr>
          <w:rStyle w:val="CharStyle19"/>
          <w:color w:val="838481"/>
          <w:sz w:val="16"/>
        </w:rPr>
        <w:t xml:space="preserve">J'ai </w:t>
      </w:r>
      <w:r>
        <w:rPr>
          <w:rStyle w:val="CharStyle19"/>
          <w:color w:val="464648"/>
          <w:sz w:val="16"/>
        </w:rPr>
        <w:t xml:space="preserve">essayé de négocier un jacuzzi mais ils ont rechigné, </w:t>
      </w:r>
      <w:r>
        <w:rPr>
          <w:rStyle w:val="CharStyle19"/>
          <w:color w:val="303030"/>
          <w:sz w:val="16"/>
        </w:rPr>
        <w:t xml:space="preserve">et </w:t>
      </w:r>
      <w:r>
        <w:rPr>
          <w:rStyle w:val="CharStyle19"/>
          <w:color w:val="464648"/>
          <w:sz w:val="16"/>
        </w:rPr>
        <w:t xml:space="preserve">j'ai cédé. Quoi qu'il en soit, maintenant que iam a divorcé, à quoi sert un bain à remous ou un jacuzzi? </w:t>
      </w:r>
      <w:r>
        <w:rPr>
          <w:rStyle w:val="CharStyle19"/>
          <w:color w:val="303030"/>
          <w:sz w:val="16"/>
        </w:rPr>
        <w:t xml:space="preserve">Si </w:t>
      </w:r>
      <w:r>
        <w:rPr>
          <w:rStyle w:val="CharStyle19"/>
          <w:color w:val="464648"/>
          <w:sz w:val="16"/>
        </w:rPr>
        <w:t xml:space="preserve">tarn assez chanceux pour trouver une petite amie, </w:t>
      </w:r>
      <w:r>
        <w:rPr>
          <w:rStyle w:val="CharStyle19"/>
          <w:color w:val="838481"/>
          <w:sz w:val="16"/>
        </w:rPr>
        <w:t xml:space="preserve">je </w:t>
      </w:r>
      <w:r>
        <w:rPr>
          <w:rStyle w:val="CharStyle19"/>
          <w:color w:val="464648"/>
          <w:sz w:val="16"/>
        </w:rPr>
        <w:t xml:space="preserve">vais printemps pour un jacuzzi, mettre à niveau mon refroidisseur de vin, obtenir un matelas qui prendra plus d'un martèlement, et arrêter de travailler si dur. En attendant, </w:t>
      </w:r>
      <w:r>
        <w:rPr>
          <w:rStyle w:val="CharStyle19"/>
          <w:color w:val="464648"/>
        </w:rPr>
        <w:t xml:space="preserve">je </w:t>
      </w:r>
      <w:r>
        <w:rPr>
          <w:rStyle w:val="CharStyle19"/>
          <w:color w:val="464648"/>
          <w:sz w:val="16"/>
        </w:rPr>
        <w:t xml:space="preserve">vais travailler à mon travail d'essayer de faire paraître le patron bien. D</w:t>
      </w:r>
    </w:p>
    <w:p>
      <w:pPr>
        <w:pStyle w:val="Style39"/>
        <w:keepNext w:val="0"/>
        <w:keepLines w:val="0"/>
        <w:widowControl w:val="0"/>
        <w:shd w:val="clear" w:color="auto" w:fill="auto"/>
        <w:spacing w:before="0" w:after="260" w:line="240" w:lineRule="auto"/>
        <w:ind w:left="0" w:right="0" w:firstLine="0"/>
        <w:jc w:val="right"/>
        <w:rPr>
          <w:sz w:val="20"/>
        </w:rPr>
      </w:pPr>
      <w:r>
        <w:rPr>
          <w:rStyle w:val="CharStyle40"/>
          <w:color w:val="303030"/>
          <w:sz w:val="20"/>
        </w:rPr>
        <w:t xml:space="preserve">MORENSSUBPOENA 014495</w:t>
      </w:r>
    </w:p>
    <w:p>
      <w:pPr>
        <w:pStyle w:val="Style24"/>
        <w:keepNext w:val="0"/>
        <w:keepLines w:val="0"/>
        <w:widowControl w:val="0"/>
        <w:shd w:val="clear" w:color="auto" w:fill="auto"/>
        <w:spacing w:before="0" w:after="340" w:line="264" w:lineRule="auto"/>
        <w:ind w:left="0" w:right="0" w:firstLine="740"/>
        <w:jc w:val="left"/>
      </w:pPr>
      <w:r>
        <w:rPr>
          <w:rStyle w:val="CharStyle25"/>
        </w:rPr>
        <w:t xml:space="preserve">Dans un autre courriel portant sur le même thème, le Dr Morens a fait une remarque misogyne dans laquelle il a indiqué qu’il préférait que ses boissons lui soient livrées par une blonde «nymphomane», mais qu’il se contenterait plutôt d’une brune ou d’une femme aux cheveux roux, ou d’une femme ayant «n’importe quel cheveu».</w:t>
        <w:footnoteReference w:id="416"/>
      </w:r>
    </w:p>
    <w:p>
      <w:pPr>
        <w:pStyle w:val="Style36"/>
        <w:keepNext w:val="0"/>
        <w:keepLines w:val="0"/>
        <w:widowControl w:val="0"/>
        <w:shd w:val="clear" w:color="auto" w:fill="auto"/>
        <w:spacing w:before="0" w:after="0" w:line="240" w:lineRule="auto"/>
        <w:ind w:left="0" w:right="0" w:firstLine="300"/>
        <w:jc w:val="left"/>
        <w:rPr>
          <w:sz w:val="15"/>
        </w:rPr>
      </w:pPr>
      <w:r>
        <w:rPr>
          <w:rStyle w:val="CharStyle37"/>
          <w:color w:val="303030"/>
          <w:sz w:val="15"/>
        </w:rPr>
        <w:t xml:space="preserve">À partir de: </w:t>
      </w:r>
      <w:r>
        <w:rPr>
          <w:rStyle w:val="CharStyle37"/>
          <w:color w:val="464648"/>
          <w:sz w:val="15"/>
        </w:rPr>
        <w:t xml:space="preserve">Morens, David (N1H/N1A1D) [El </w:t>
      </w:r>
      <w:r>
        <w:rPr>
          <w:rStyle w:val="CharStyle37"/>
          <w:color w:val="000000"/>
          <w:sz w:val="15"/>
        </w:rPr>
        <w:t xml:space="preserve">^^^^^I'gmail.com </w:t>
      </w:r>
      <w:r>
        <w:rPr>
          <w:rStyle w:val="CharStyle37"/>
          <w:color w:val="464648"/>
          <w:sz w:val="15"/>
        </w:rPr>
        <w:t>&gt;</w:t>
      </w:r>
    </w:p>
    <w:p>
      <w:pPr>
        <w:pStyle w:val="Style18"/>
        <w:keepNext w:val="0"/>
        <w:keepLines w:val="0"/>
        <w:widowControl w:val="0"/>
        <w:shd w:val="clear" w:color="auto" w:fill="auto"/>
        <w:spacing w:before="0" w:after="0" w:line="240" w:lineRule="auto"/>
        <w:ind w:left="0" w:right="0" w:firstLine="300"/>
        <w:jc w:val="left"/>
        <w:rPr>
          <w:sz w:val="17"/>
        </w:rPr>
      </w:pPr>
      <w:r>
        <w:rPr>
          <w:rStyle w:val="CharStyle19"/>
          <w:rFonts w:ascii="Arial" w:hAnsi="Arial" w:cs="Arial" w:eastAsia="Arial"/>
          <w:b/>
          <w:color w:val="303030"/>
          <w:sz w:val="15"/>
        </w:rPr>
        <w:t>Envoyé:</w:t>
      </w:r>
      <w:r>
        <w:rPr>
          <w:rStyle w:val="CharStyle19"/>
          <w:color w:val="464648"/>
          <w:sz w:val="17"/>
        </w:rPr>
        <w:t xml:space="preserve">Vendredi, </w:t>
      </w:r>
      <w:r>
        <w:rPr>
          <w:rStyle w:val="CharStyle19"/>
          <w:color w:val="303030"/>
          <w:sz w:val="17"/>
        </w:rPr>
        <w:t>Dei</w:t>
      </w:r>
      <w:r>
        <w:rPr>
          <w:rStyle w:val="CharStyle19"/>
          <w:sz w:val="17"/>
        </w:rPr>
        <w:t>emhgML202^J^^^^^</w:t>
      </w:r>
    </w:p>
    <w:p>
      <w:pPr>
        <w:pStyle w:val="Style36"/>
        <w:keepNext w:val="0"/>
        <w:keepLines w:val="0"/>
        <w:widowControl w:val="0"/>
        <w:shd w:val="clear" w:color="auto" w:fill="auto"/>
        <w:spacing w:before="0" w:after="0" w:line="240" w:lineRule="auto"/>
        <w:ind w:left="0" w:right="0" w:firstLine="300"/>
        <w:jc w:val="left"/>
        <w:rPr>
          <w:sz w:val="15"/>
        </w:rPr>
      </w:pPr>
      <w:r>
        <w:rPr>
          <w:rStyle w:val="CharStyle37"/>
          <w:color w:val="303030"/>
          <w:sz w:val="15"/>
        </w:rPr>
        <w:t xml:space="preserve">À l'attention de: </w:t>
      </w:r>
      <w:r>
        <w:rPr>
          <w:rStyle w:val="CharStyle37"/>
          <w:color w:val="464648"/>
          <w:sz w:val="15"/>
        </w:rPr>
        <w:t xml:space="preserve">PeterDaszak </w:t>
      </w:r>
      <w:r>
        <w:rPr>
          <w:rStyle w:val="CharStyle37"/>
          <w:color w:val="000000"/>
          <w:sz w:val="15"/>
        </w:rPr>
        <w:t xml:space="preserve">HMMHMHH|^^^B&lt;eiisch, </w:t>
      </w:r>
      <w:r>
        <w:rPr>
          <w:rStyle w:val="CharStyle37"/>
          <w:color w:val="464648"/>
          <w:sz w:val="15"/>
        </w:rPr>
        <w:t>Gerald!</w:t>
      </w:r>
    </w:p>
    <w:p>
      <w:pPr>
        <w:pStyle w:val="Style36"/>
        <w:keepNext w:val="0"/>
        <w:keepLines w:val="0"/>
        <w:widowControl w:val="0"/>
        <w:shd w:val="clear" w:color="auto" w:fill="auto"/>
        <w:spacing w:before="0" w:after="0" w:line="240" w:lineRule="auto"/>
        <w:ind w:left="0" w:right="0" w:firstLine="300"/>
        <w:jc w:val="left"/>
        <w:rPr>
          <w:sz w:val="15"/>
        </w:rPr>
      </w:pPr>
      <w:r>
        <w:rPr>
          <w:rStyle w:val="CharStyle37"/>
          <w:color w:val="303030"/>
          <w:sz w:val="15"/>
        </w:rPr>
        <w:t xml:space="preserve">Cc : </w:t>
      </w:r>
      <w:r>
        <w:rPr>
          <w:rStyle w:val="CharStyle37"/>
          <w:color w:val="464648"/>
          <w:sz w:val="15"/>
        </w:rPr>
        <w:t>Aleksei</w:t>
      </w:r>
    </w:p>
    <w:p>
      <w:pPr>
        <w:pStyle w:val="Style36"/>
        <w:keepNext w:val="0"/>
        <w:keepLines w:val="0"/>
        <w:widowControl w:val="0"/>
        <w:shd w:val="clear" w:color="auto" w:fill="auto"/>
        <w:spacing w:before="0" w:after="400" w:line="240" w:lineRule="auto"/>
        <w:ind w:left="0" w:right="0" w:firstLine="300"/>
        <w:jc w:val="left"/>
        <w:rPr>
          <w:sz w:val="15"/>
        </w:rPr>
      </w:pPr>
      <w:r>
        <w:rPr>
          <w:rStyle w:val="CharStyle37"/>
          <w:color w:val="303030"/>
          <w:sz w:val="15"/>
        </w:rPr>
        <w:t xml:space="preserve">Objet: </w:t>
      </w:r>
      <w:r>
        <w:rPr>
          <w:rStyle w:val="CharStyle37"/>
          <w:color w:val="464648"/>
          <w:sz w:val="15"/>
        </w:rPr>
        <w:t xml:space="preserve">En ce qui concerne: </w:t>
      </w:r>
      <w:r>
        <w:rPr>
          <w:rStyle w:val="CharStyle37"/>
          <w:color w:val="303030"/>
          <w:sz w:val="15"/>
        </w:rPr>
        <w:t xml:space="preserve">Un </w:t>
      </w:r>
      <w:r>
        <w:rPr>
          <w:rStyle w:val="CharStyle37"/>
          <w:color w:val="464648"/>
          <w:sz w:val="15"/>
        </w:rPr>
        <w:t xml:space="preserve">article amusant pour </w:t>
      </w:r>
      <w:r>
        <w:rPr>
          <w:rStyle w:val="CharStyle37"/>
          <w:color w:val="303030"/>
          <w:sz w:val="15"/>
        </w:rPr>
        <w:t xml:space="preserve">votre lecture </w:t>
      </w:r>
      <w:r>
        <w:rPr>
          <w:rStyle w:val="CharStyle37"/>
          <w:color w:val="464648"/>
          <w:sz w:val="15"/>
        </w:rPr>
        <w:t xml:space="preserve">du vendredi... </w:t>
      </w:r>
    </w:p>
    <w:p>
      <w:pPr>
        <w:pStyle w:val="Style36"/>
        <w:keepNext w:val="0"/>
        <w:keepLines w:val="0"/>
        <w:widowControl w:val="0"/>
        <w:shd w:val="clear" w:color="auto" w:fill="auto"/>
        <w:spacing w:before="0" w:after="480" w:line="276" w:lineRule="auto"/>
        <w:ind w:left="300" w:right="0" w:firstLine="20"/>
        <w:jc w:val="left"/>
        <w:rPr>
          <w:sz w:val="17"/>
        </w:rPr>
      </w:pPr>
      <w:r>
        <w:rPr>
          <w:rStyle w:val="CharStyle37"/>
          <w:color w:val="303030"/>
          <w:sz w:val="17"/>
        </w:rPr>
        <w:t xml:space="preserve">Grande </w:t>
      </w:r>
      <w:r>
        <w:rPr>
          <w:rStyle w:val="CharStyle37"/>
          <w:color w:val="464648"/>
          <w:sz w:val="17"/>
        </w:rPr>
        <w:t xml:space="preserve">histoire, </w:t>
      </w:r>
      <w:r>
        <w:rPr>
          <w:rStyle w:val="CharStyle37"/>
          <w:color w:val="303030"/>
          <w:sz w:val="17"/>
        </w:rPr>
        <w:t xml:space="preserve">grand </w:t>
      </w:r>
      <w:r>
        <w:rPr>
          <w:rStyle w:val="CharStyle37"/>
          <w:color w:val="464648"/>
          <w:sz w:val="17"/>
        </w:rPr>
        <w:t xml:space="preserve">snark (snark </w:t>
      </w:r>
      <w:r>
        <w:rPr>
          <w:rStyle w:val="CharStyle37"/>
          <w:color w:val="303030"/>
          <w:sz w:val="17"/>
        </w:rPr>
        <w:t xml:space="preserve">est bon!). </w:t>
      </w:r>
      <w:r>
        <w:rPr>
          <w:rStyle w:val="CharStyle37"/>
          <w:color w:val="464648"/>
          <w:sz w:val="17"/>
        </w:rPr>
        <w:t xml:space="preserve">Les boissons </w:t>
      </w:r>
      <w:r>
        <w:rPr>
          <w:rStyle w:val="CharStyle37"/>
          <w:color w:val="303030"/>
          <w:sz w:val="17"/>
        </w:rPr>
        <w:t xml:space="preserve">sont toujours bonnes, et </w:t>
      </w:r>
      <w:r>
        <w:rPr>
          <w:rStyle w:val="CharStyle37"/>
          <w:color w:val="464648"/>
          <w:sz w:val="17"/>
        </w:rPr>
        <w:t xml:space="preserve">mieux livrées </w:t>
      </w:r>
      <w:r>
        <w:rPr>
          <w:rStyle w:val="CharStyle37"/>
          <w:color w:val="303030"/>
          <w:sz w:val="17"/>
        </w:rPr>
        <w:t xml:space="preserve">par une nymphomane blonde, </w:t>
      </w:r>
      <w:r>
        <w:rPr>
          <w:rStyle w:val="CharStyle37"/>
          <w:color w:val="464648"/>
          <w:sz w:val="17"/>
        </w:rPr>
        <w:t xml:space="preserve">si vous </w:t>
      </w:r>
      <w:r>
        <w:rPr>
          <w:rStyle w:val="CharStyle37"/>
          <w:color w:val="303030"/>
          <w:sz w:val="17"/>
        </w:rPr>
        <w:t xml:space="preserve">pouvez </w:t>
      </w:r>
      <w:r>
        <w:rPr>
          <w:rStyle w:val="CharStyle37"/>
          <w:color w:val="464648"/>
          <w:sz w:val="17"/>
        </w:rPr>
        <w:t xml:space="preserve">gérer </w:t>
      </w:r>
      <w:r>
        <w:rPr>
          <w:rStyle w:val="CharStyle37"/>
          <w:color w:val="303030"/>
          <w:sz w:val="17"/>
        </w:rPr>
        <w:t xml:space="preserve">cela. </w:t>
      </w:r>
      <w:r>
        <w:rPr>
          <w:rStyle w:val="CharStyle37"/>
          <w:color w:val="464648"/>
          <w:sz w:val="17"/>
        </w:rPr>
        <w:t xml:space="preserve">En fait, </w:t>
      </w:r>
      <w:r>
        <w:rPr>
          <w:rStyle w:val="CharStyle37"/>
          <w:color w:val="303030"/>
          <w:sz w:val="17"/>
        </w:rPr>
        <w:t xml:space="preserve">à l'âge </w:t>
      </w:r>
      <w:r>
        <w:rPr>
          <w:rStyle w:val="CharStyle37"/>
          <w:color w:val="464648"/>
          <w:sz w:val="17"/>
        </w:rPr>
        <w:t xml:space="preserve">de </w:t>
      </w:r>
      <w:r>
        <w:rPr>
          <w:rStyle w:val="CharStyle37"/>
          <w:color w:val="464648"/>
          <w:sz w:val="17"/>
        </w:rPr>
        <w:t xml:space="preserve">mv, </w:t>
      </w:r>
      <w:r>
        <w:rPr>
          <w:rStyle w:val="CharStyle37"/>
          <w:color w:val="464648"/>
          <w:sz w:val="17"/>
        </w:rPr>
        <w:t xml:space="preserve">je prendrai </w:t>
      </w:r>
      <w:r>
        <w:rPr>
          <w:rStyle w:val="CharStyle37"/>
          <w:color w:val="303030"/>
          <w:sz w:val="17"/>
        </w:rPr>
        <w:t xml:space="preserve">une </w:t>
      </w:r>
      <w:r>
        <w:rPr>
          <w:rStyle w:val="CharStyle37"/>
          <w:color w:val="464648"/>
          <w:sz w:val="17"/>
        </w:rPr>
        <w:t xml:space="preserve">brune. </w:t>
      </w:r>
      <w:r>
        <w:rPr>
          <w:rStyle w:val="CharStyle37"/>
          <w:color w:val="303030"/>
          <w:sz w:val="17"/>
        </w:rPr>
        <w:t xml:space="preserve">Même une tête rouge. N'importe </w:t>
      </w:r>
      <w:r>
        <w:rPr>
          <w:rStyle w:val="CharStyle37"/>
          <w:color w:val="464648"/>
          <w:sz w:val="17"/>
        </w:rPr>
        <w:t xml:space="preserve">quel cheveu.... </w:t>
      </w:r>
      <w:r>
        <w:rPr>
          <w:rStyle w:val="CharStyle37"/>
          <w:color w:val="303030"/>
          <w:sz w:val="17"/>
        </w:rPr>
        <w:t>d</w:t>
      </w:r>
    </w:p>
    <w:p>
      <w:pPr>
        <w:pStyle w:val="Style24"/>
        <w:keepNext w:val="0"/>
        <w:keepLines w:val="0"/>
        <w:widowControl w:val="0"/>
        <w:shd w:val="clear" w:color="auto" w:fill="auto"/>
        <w:spacing w:before="0" w:after="1920"/>
        <w:ind w:left="0" w:right="0" w:firstLine="740"/>
        <w:jc w:val="left"/>
      </w:pPr>
      <w:r>
        <w:rPr>
          <w:rStyle w:val="CharStyle25"/>
        </w:rPr>
        <w:t xml:space="preserve">Ces déclarations misogynes sont assez mauvaises, mais le Dr Morens a également fait d'autres types de déclarations inappropriées. Par exemple, le 27 août 2020, le Dr Morens a laissé entendre qu’il devrait recevoir un «kickback» du Dr Daszak après que le NIAID ait accordé à EcoHealth une subvention de 7,5 millions de dollars qui, selon le Dr Morens, était «trop d’argent farfelu». </w:t>
        <w:footnoteReference w:id="417"/>
        <w:t xml:space="preserve"> Malgré cette déclaration, le sous-comité restreint n’a trouvé aucune preuve que le Dr Morens ait effectivement reçu un kickback. Quoi qu'il en soit, il est tout à fait inapproprié pour un employé fédéral d'un établissement subventionnaire de suggérer qu'il mérite un pot-de-vin.</w:t>
      </w:r>
    </w:p>
    <w:p>
      <w:pPr>
        <w:pStyle w:val="Style24"/>
        <w:keepNext w:val="0"/>
        <w:keepLines w:val="0"/>
        <w:widowControl w:val="0"/>
        <w:shd w:val="clear" w:color="auto" w:fill="auto"/>
        <w:spacing w:before="0" w:after="380" w:line="240" w:lineRule="auto"/>
        <w:ind w:left="0" w:right="0" w:firstLine="0"/>
        <w:jc w:val="center"/>
      </w:pPr>
      <w:r>
        <w:rPr>
          <w:rStyle w:val="CharStyle25"/>
        </w:rPr>
        <w:t xml:space="preserve">[REMAINDER OF PAGE INTENTIONALLY BLANK]</w:t>
      </w:r>
    </w:p>
    <w:p>
      <w:pPr>
        <w:pStyle w:val="Style18"/>
        <w:keepNext w:val="0"/>
        <w:keepLines w:val="0"/>
        <w:widowControl w:val="0"/>
        <w:shd w:val="clear" w:color="auto" w:fill="auto"/>
        <w:tabs>
          <w:tab w:pos="4254" w:val="left"/>
        </w:tabs>
        <w:spacing w:before="0" w:after="0" w:line="187" w:lineRule="auto"/>
        <w:ind w:left="0" w:right="0" w:firstLine="140"/>
        <w:jc w:val="left"/>
      </w:pPr>
      <w:r>
        <w:rPr>
          <w:rStyle w:val="CharStyle19"/>
          <w:color w:val="303030"/>
        </w:rPr>
        <w:t xml:space="preserve">À partir de: </w:t>
      </w:r>
      <w:r>
        <w:rPr>
          <w:rStyle w:val="CharStyle19"/>
          <w:color w:val="464648"/>
          <w:sz w:val="16"/>
        </w:rPr>
        <w:t xml:space="preserve">Morens. </w:t>
      </w:r>
      <w:r>
        <w:rPr>
          <w:rStyle w:val="CharStyle19"/>
          <w:color w:val="656361"/>
          <w:sz w:val="16"/>
        </w:rPr>
        <w:t xml:space="preserve">David </w:t>
      </w:r>
      <w:r>
        <w:rPr>
          <w:rStyle w:val="CharStyle19"/>
          <w:color w:val="464648"/>
          <w:sz w:val="16"/>
        </w:rPr>
        <w:t xml:space="preserve">(NIH/NIAlDi </w:t>
      </w:r>
      <w:r>
        <w:rPr>
          <w:rStyle w:val="CharStyle19"/>
          <w:color w:val="464648"/>
        </w:rPr>
        <w:t>[L</w:t>
      </w:r>
      <w:r>
        <w:rPr>
          <w:rStyle w:val="CharStyle19"/>
          <w:color w:val="303030"/>
        </w:rPr>
        <w:t xml:space="preserve">] </w:t>
      </w:r>
      <w:r>
        <w:rPr>
          <w:rStyle w:val="CharStyle19"/>
          <w:u w:val="single"/>
        </w:rPr>
        <w:t>—</w:t>
      </w:r>
    </w:p>
    <w:p>
      <w:pPr>
        <w:pStyle w:val="Style18"/>
        <w:keepNext w:val="0"/>
        <w:keepLines w:val="0"/>
        <w:widowControl w:val="0"/>
        <w:shd w:val="clear" w:color="auto" w:fill="auto"/>
        <w:spacing w:before="0" w:after="0" w:line="187" w:lineRule="auto"/>
        <w:ind w:left="0" w:right="0" w:firstLine="140"/>
        <w:jc w:val="left"/>
      </w:pPr>
      <w:r>
        <w:rPr>
          <w:rStyle w:val="CharStyle19"/>
          <w:color w:val="464648"/>
        </w:rPr>
        <w:t xml:space="preserve">Envoyé: </w:t>
      </w:r>
      <w:r>
        <w:rPr>
          <w:rStyle w:val="CharStyle19"/>
          <w:color w:val="656361"/>
          <w:sz w:val="16"/>
        </w:rPr>
        <w:t xml:space="preserve">Jeudi. 27 août 2020 19:54 </w:t>
      </w:r>
    </w:p>
    <w:p>
      <w:pPr>
        <w:pStyle w:val="Style18"/>
        <w:keepNext w:val="0"/>
        <w:keepLines w:val="0"/>
        <w:widowControl w:val="0"/>
        <w:shd w:val="clear" w:color="auto" w:fill="auto"/>
        <w:spacing w:before="0" w:after="0" w:line="137" w:lineRule="auto"/>
        <w:ind w:left="0" w:right="0" w:firstLine="140"/>
        <w:jc w:val="left"/>
        <w:rPr>
          <w:sz w:val="16"/>
        </w:rPr>
      </w:pPr>
      <w:r>
        <w:rPr>
          <w:rStyle w:val="CharStyle19"/>
          <w:color w:val="303030"/>
          <w:sz w:val="16"/>
        </w:rPr>
        <w:t xml:space="preserve">À l'attention de: Peter </w:t>
      </w:r>
      <w:r>
        <w:rPr>
          <w:rStyle w:val="CharStyle19"/>
          <w:sz w:val="30"/>
        </w:rPr>
        <w:t xml:space="preserve">"&gt;.-...,.■■^^^^^^^^^^^^■1 </w:t>
      </w:r>
      <w:r>
        <w:rPr>
          <w:rStyle w:val="CharStyle19"/>
          <w:color w:val="656361"/>
          <w:sz w:val="16"/>
        </w:rPr>
        <w:t xml:space="preserve">Gerald Réutiliser</w:t>
      </w:r>
      <w:r>
        <w:rPr>
          <w:rStyle w:val="CharStyle19"/>
          <w:sz w:val="16"/>
        </w:rPr>
        <w:t>hMMWWWWBl</w:t>
      </w:r>
    </w:p>
    <w:p>
      <w:pPr>
        <w:pStyle w:val="Style36"/>
        <w:keepNext w:val="0"/>
        <w:keepLines w:val="0"/>
        <w:widowControl w:val="0"/>
        <w:shd w:val="clear" w:color="auto" w:fill="auto"/>
        <w:spacing w:before="0" w:after="180" w:line="257" w:lineRule="auto"/>
        <w:ind w:left="0" w:right="0" w:firstLine="140"/>
        <w:jc w:val="left"/>
        <w:rPr>
          <w:sz w:val="15"/>
        </w:rPr>
      </w:pPr>
      <w:r>
        <w:rPr>
          <w:rStyle w:val="CharStyle37"/>
          <w:rFonts w:ascii="Times New Roman" w:hAnsi="Times New Roman" w:cs="Times New Roman" w:eastAsia="Times New Roman"/>
          <w:color w:val="303030"/>
        </w:rPr>
        <w:t xml:space="preserve">Objet: </w:t>
      </w:r>
      <w:r>
        <w:rPr>
          <w:rStyle w:val="CharStyle37"/>
          <w:color w:val="464648"/>
          <w:sz w:val="15"/>
        </w:rPr>
        <w:t xml:space="preserve">Fwd : </w:t>
      </w:r>
      <w:r>
        <w:rPr>
          <w:rStyle w:val="CharStyle37"/>
          <w:sz w:val="15"/>
        </w:rPr>
        <w:t xml:space="preserve">STAT : </w:t>
      </w:r>
      <w:r>
        <w:rPr>
          <w:rStyle w:val="CharStyle37"/>
          <w:color w:val="464648"/>
          <w:sz w:val="15"/>
        </w:rPr>
        <w:t>NIH</w:t>
      </w:r>
      <w:r>
        <w:rPr>
          <w:rStyle w:val="CharStyle37"/>
          <w:sz w:val="15"/>
        </w:rPr>
        <w:t xml:space="preserve">octroie une subvention de 7,5 millions de dollars à EcoHeaith Alliance, des mois </w:t>
      </w:r>
      <w:r>
        <w:rPr>
          <w:rStyle w:val="CharStyle37"/>
          <w:color w:val="464648"/>
          <w:sz w:val="15"/>
        </w:rPr>
        <w:t xml:space="preserve">changent </w:t>
      </w:r>
      <w:r>
        <w:rPr>
          <w:rStyle w:val="CharStyle37"/>
          <w:sz w:val="15"/>
        </w:rPr>
        <w:t xml:space="preserve">le tollé sur l'ingérence politique</w:t>
      </w:r>
    </w:p>
    <w:p>
      <w:pPr>
        <w:pStyle w:val="Style18"/>
        <w:keepNext w:val="0"/>
        <w:keepLines w:val="0"/>
        <w:widowControl w:val="0"/>
        <w:shd w:val="clear" w:color="auto" w:fill="auto"/>
        <w:spacing w:before="0" w:after="180" w:line="257" w:lineRule="auto"/>
        <w:ind w:left="140" w:right="0" w:firstLine="0"/>
        <w:jc w:val="left"/>
        <w:rPr>
          <w:sz w:val="16"/>
        </w:rPr>
      </w:pPr>
      <w:r>
        <w:rPr>
          <w:rStyle w:val="CharStyle19"/>
          <w:color w:val="656361"/>
          <w:sz w:val="16"/>
        </w:rPr>
        <w:t xml:space="preserve">Ahem.... est-ce </w:t>
      </w:r>
      <w:r>
        <w:rPr>
          <w:rStyle w:val="CharStyle19"/>
          <w:color w:val="303030"/>
          <w:sz w:val="16"/>
        </w:rPr>
        <w:t xml:space="preserve">que je </w:t>
      </w:r>
      <w:r>
        <w:rPr>
          <w:rStyle w:val="CharStyle19"/>
          <w:color w:val="464648"/>
          <w:sz w:val="16"/>
        </w:rPr>
        <w:t xml:space="preserve">reçois un </w:t>
      </w:r>
      <w:r>
        <w:rPr>
          <w:rStyle w:val="CharStyle19"/>
          <w:color w:val="656361"/>
          <w:sz w:val="16"/>
        </w:rPr>
        <w:t xml:space="preserve">kickback ???? </w:t>
      </w:r>
      <w:r>
        <w:rPr>
          <w:rStyle w:val="CharStyle19"/>
          <w:color w:val="464648"/>
          <w:sz w:val="16"/>
        </w:rPr>
        <w:t xml:space="preserve">Trop de </w:t>
      </w:r>
      <w:r>
        <w:rPr>
          <w:rStyle w:val="CharStyle19"/>
          <w:color w:val="656361"/>
          <w:sz w:val="16"/>
        </w:rPr>
        <w:t xml:space="preserve"> </w:t>
      </w:r>
      <w:r>
        <w:rPr>
          <w:rStyle w:val="CharStyle19"/>
          <w:color w:val="464648"/>
          <w:sz w:val="16"/>
        </w:rPr>
        <w:t xml:space="preserve">monev flippant! Est-ce </w:t>
      </w:r>
      <w:r>
        <w:rPr>
          <w:rStyle w:val="CharStyle19"/>
          <w:color w:val="656361"/>
          <w:sz w:val="16"/>
        </w:rPr>
        <w:t xml:space="preserve">que tu </w:t>
      </w:r>
      <w:r>
        <w:rPr>
          <w:rStyle w:val="CharStyle19"/>
          <w:color w:val="464648"/>
          <w:sz w:val="16"/>
        </w:rPr>
        <w:t xml:space="preserve">mérites tout? </w:t>
      </w:r>
      <w:r>
        <w:rPr>
          <w:rStyle w:val="CharStyle19"/>
          <w:color w:val="656361"/>
          <w:sz w:val="16"/>
        </w:rPr>
        <w:t xml:space="preserve"> </w:t>
      </w:r>
      <w:r>
        <w:rPr>
          <w:rStyle w:val="CharStyle19"/>
          <w:color w:val="464648"/>
          <w:sz w:val="16"/>
        </w:rPr>
        <w:t xml:space="preserve">Discutons... </w:t>
      </w:r>
      <w:r>
        <w:rPr>
          <w:rStyle w:val="CharStyle19"/>
          <w:color w:val="656361"/>
          <w:sz w:val="16"/>
        </w:rPr>
        <w:t xml:space="preserve"> Sérieusement, c'est </w:t>
      </w:r>
      <w:r>
        <w:rPr>
          <w:rStyle w:val="CharStyle19"/>
          <w:color w:val="464648"/>
          <w:sz w:val="16"/>
        </w:rPr>
        <w:t xml:space="preserve">une excellente </w:t>
      </w:r>
      <w:r>
        <w:rPr>
          <w:rStyle w:val="CharStyle19"/>
          <w:color w:val="656361"/>
          <w:sz w:val="16"/>
        </w:rPr>
        <w:t xml:space="preserve">nouvelle. </w:t>
      </w:r>
      <w:r>
        <w:rPr>
          <w:rStyle w:val="CharStyle19"/>
          <w:color w:val="464648"/>
          <w:sz w:val="16"/>
        </w:rPr>
        <w:t xml:space="preserve">Bien </w:t>
      </w:r>
      <w:r>
        <w:rPr>
          <w:rStyle w:val="CharStyle19"/>
          <w:color w:val="656361"/>
          <w:sz w:val="16"/>
        </w:rPr>
        <w:t xml:space="preserve">mérité. </w:t>
      </w:r>
      <w:r>
        <w:rPr>
          <w:rStyle w:val="CharStyle19"/>
          <w:color w:val="464648"/>
          <w:sz w:val="16"/>
        </w:rPr>
        <w:t xml:space="preserve">, </w:t>
      </w:r>
      <w:r>
        <w:rPr>
          <w:rStyle w:val="CharStyle19"/>
          <w:color w:val="656361"/>
          <w:sz w:val="16"/>
        </w:rPr>
        <w:t xml:space="preserve">Il y astillJusdceinaTrump-lnierteduniverse.... </w:t>
      </w:r>
      <w:r>
        <w:rPr>
          <w:rStyle w:val="CharStyle19"/>
          <w:color w:val="303030"/>
          <w:sz w:val="16"/>
        </w:rPr>
        <w:t>d</w:t>
      </w:r>
    </w:p>
    <w:p>
      <w:pPr>
        <w:pStyle w:val="Style18"/>
        <w:keepNext w:val="0"/>
        <w:keepLines w:val="0"/>
        <w:widowControl w:val="0"/>
        <w:shd w:val="clear" w:color="auto" w:fill="auto"/>
        <w:spacing w:before="0" w:after="0" w:line="257" w:lineRule="auto"/>
        <w:ind w:left="140" w:right="0" w:firstLine="0"/>
        <w:jc w:val="left"/>
        <w:rPr>
          <w:sz w:val="16"/>
        </w:rPr>
      </w:pPr>
      <w:r>
        <w:rPr>
          <w:rStyle w:val="CharStyle19"/>
          <w:color w:val="656361"/>
          <w:sz w:val="16"/>
        </w:rPr>
        <w:t xml:space="preserve">Envoyé </w:t>
      </w:r>
      <w:r>
        <w:rPr>
          <w:rStyle w:val="CharStyle19"/>
          <w:color w:val="464648"/>
          <w:sz w:val="16"/>
        </w:rPr>
        <w:t xml:space="preserve">depuis </w:t>
      </w:r>
      <w:r>
        <w:rPr>
          <w:rStyle w:val="CharStyle19"/>
          <w:color w:val="656361"/>
          <w:sz w:val="16"/>
        </w:rPr>
        <w:t xml:space="preserve">mon iPhone</w:t>
      </w:r>
    </w:p>
    <w:p>
      <w:pPr>
        <w:pStyle w:val="Style18"/>
        <w:keepNext w:val="0"/>
        <w:keepLines w:val="0"/>
        <w:widowControl w:val="0"/>
        <w:shd w:val="clear" w:color="auto" w:fill="auto"/>
        <w:spacing w:before="0" w:after="0" w:line="257" w:lineRule="auto"/>
        <w:ind w:left="140" w:right="0" w:firstLine="0"/>
        <w:jc w:val="left"/>
        <w:rPr>
          <w:sz w:val="16"/>
        </w:rPr>
      </w:pPr>
      <w:r>
        <w:rPr>
          <w:rStyle w:val="CharStyle19"/>
          <w:color w:val="464648"/>
          <w:sz w:val="16"/>
        </w:rPr>
        <w:t xml:space="preserve">David </w:t>
      </w:r>
      <w:r>
        <w:rPr>
          <w:rStyle w:val="CharStyle19"/>
          <w:color w:val="303030"/>
          <w:sz w:val="16"/>
        </w:rPr>
        <w:t xml:space="preserve">M </w:t>
      </w:r>
      <w:r>
        <w:rPr>
          <w:rStyle w:val="CharStyle19"/>
          <w:color w:val="464648"/>
          <w:sz w:val="16"/>
        </w:rPr>
        <w:t xml:space="preserve">Morens (acteur)</w:t>
      </w:r>
    </w:p>
    <w:p>
      <w:pPr>
        <w:pStyle w:val="Style18"/>
        <w:keepNext w:val="0"/>
        <w:keepLines w:val="0"/>
        <w:widowControl w:val="0"/>
        <w:shd w:val="clear" w:color="auto" w:fill="auto"/>
        <w:spacing w:before="0" w:after="0" w:line="257" w:lineRule="auto"/>
        <w:ind w:left="140" w:right="0" w:firstLine="0"/>
        <w:jc w:val="left"/>
        <w:rPr>
          <w:sz w:val="16"/>
        </w:rPr>
      </w:pPr>
      <w:r>
        <w:rPr>
          <w:rStyle w:val="CharStyle19"/>
          <w:color w:val="464648"/>
          <w:sz w:val="16"/>
        </w:rPr>
        <w:t xml:space="preserve">OD, NIAID, </w:t>
      </w:r>
      <w:r>
        <w:rPr>
          <w:rStyle w:val="CharStyle19"/>
          <w:color w:val="303030"/>
          <w:sz w:val="16"/>
        </w:rPr>
        <w:t>NIH</w:t>
      </w:r>
    </w:p>
    <w:p>
      <w:pPr>
        <w:pStyle w:val="Style18"/>
        <w:keepNext w:val="0"/>
        <w:keepLines w:val="0"/>
        <w:widowControl w:val="0"/>
        <w:shd w:val="clear" w:color="auto" w:fill="auto"/>
        <w:spacing w:before="0" w:after="180" w:line="257" w:lineRule="auto"/>
        <w:ind w:left="140" w:right="0" w:firstLine="0"/>
        <w:jc w:val="left"/>
        <w:rPr>
          <w:sz w:val="16"/>
        </w:rPr>
      </w:pPr>
      <w:r>
        <w:rPr>
          <w:rStyle w:val="CharStyle19"/>
          <w:color w:val="464648"/>
          <w:sz w:val="16"/>
        </w:rPr>
        <w:t xml:space="preserve">Commencer </w:t>
      </w:r>
      <w:r>
        <w:rPr>
          <w:rStyle w:val="CharStyle19"/>
          <w:color w:val="656361"/>
          <w:sz w:val="16"/>
        </w:rPr>
        <w:t xml:space="preserve">le message transmis: </w:t>
      </w:r>
    </w:p>
    <w:p>
      <w:pPr>
        <w:pStyle w:val="Style18"/>
        <w:keepNext w:val="0"/>
        <w:keepLines w:val="0"/>
        <w:widowControl w:val="0"/>
        <w:shd w:val="clear" w:color="auto" w:fill="auto"/>
        <w:spacing w:before="0" w:after="0" w:line="257" w:lineRule="auto"/>
        <w:ind w:left="0" w:right="0" w:firstLine="620"/>
        <w:jc w:val="left"/>
        <w:rPr>
          <w:sz w:val="16"/>
        </w:rPr>
      </w:pPr>
      <w:r>
        <w:rPr>
          <w:rStyle w:val="CharStyle19"/>
          <w:color w:val="303030"/>
          <w:sz w:val="16"/>
        </w:rPr>
        <w:t xml:space="preserve">À partir de: </w:t>
      </w:r>
      <w:r>
        <w:rPr>
          <w:rStyle w:val="CharStyle19"/>
          <w:color w:val="464648"/>
          <w:sz w:val="16"/>
        </w:rPr>
        <w:t xml:space="preserve">«Folkers, Greg </w:t>
      </w:r>
      <w:r>
        <w:rPr>
          <w:rStyle w:val="CharStyle19"/>
          <w:color w:val="656361"/>
          <w:sz w:val="16"/>
        </w:rPr>
        <w:t xml:space="preserve">(NIH/NIA1D) </w:t>
      </w:r>
      <w:r>
        <w:rPr>
          <w:rStyle w:val="CharStyle19"/>
          <w:color w:val="464648"/>
          <w:sz w:val="16"/>
        </w:rPr>
        <w:t>[E|]»</w:t>
      </w:r>
    </w:p>
    <w:p>
      <w:pPr>
        <w:pStyle w:val="Style18"/>
        <w:keepNext w:val="0"/>
        <w:keepLines w:val="0"/>
        <w:widowControl w:val="0"/>
        <w:shd w:val="clear" w:color="auto" w:fill="auto"/>
        <w:spacing w:before="0" w:after="640" w:line="257" w:lineRule="auto"/>
        <w:ind w:left="0" w:right="0" w:firstLine="620"/>
        <w:jc w:val="left"/>
        <w:rPr>
          <w:sz w:val="16"/>
        </w:rPr>
      </w:pPr>
      <w:r>
        <w:rPr>
          <w:rStyle w:val="CharStyle19"/>
          <w:color w:val="303030"/>
          <w:sz w:val="16"/>
        </w:rPr>
        <w:t xml:space="preserve">Date : </w:t>
      </w:r>
      <w:r>
        <w:rPr>
          <w:rStyle w:val="CharStyle19"/>
          <w:color w:val="464648"/>
          <w:sz w:val="16"/>
        </w:rPr>
        <w:t xml:space="preserve">Août </w:t>
      </w:r>
      <w:r>
        <w:rPr>
          <w:rStyle w:val="CharStyle19"/>
          <w:color w:val="656361"/>
          <w:sz w:val="16"/>
        </w:rPr>
        <w:t xml:space="preserve">27,2020nt 18:04:15 EOT</w:t>
      </w:r>
    </w:p>
    <w:p>
      <w:pPr>
        <w:pStyle w:val="Style39"/>
        <w:keepNext w:val="0"/>
        <w:keepLines w:val="0"/>
        <w:widowControl w:val="0"/>
        <w:shd w:val="clear" w:color="auto" w:fill="auto"/>
        <w:spacing w:before="0" w:after="740" w:line="240" w:lineRule="auto"/>
        <w:ind w:left="0" w:right="0" w:firstLine="0"/>
        <w:jc w:val="right"/>
        <w:rPr>
          <w:sz w:val="18"/>
        </w:rPr>
      </w:pPr>
      <w:r>
        <w:rPr>
          <w:rStyle w:val="CharStyle40"/>
          <w:color w:val="303030"/>
          <w:sz w:val="18"/>
        </w:rPr>
        <w:t>MORENS_SUBPOENA_OOH52</w:t>
      </w:r>
    </w:p>
    <w:p>
      <w:pPr>
        <w:pStyle w:val="Style57"/>
        <w:keepNext w:val="0"/>
        <w:keepLines w:val="0"/>
        <w:widowControl w:val="0"/>
        <w:shd w:val="clear" w:color="auto" w:fill="auto"/>
        <w:tabs>
          <w:tab w:pos="4393" w:val="left"/>
        </w:tabs>
        <w:spacing w:before="0" w:after="180" w:line="286" w:lineRule="auto"/>
        <w:ind w:left="0" w:right="0" w:firstLine="620"/>
        <w:jc w:val="left"/>
      </w:pPr>
      <w:r>
        <w:rPr>
          <w:rStyle w:val="CharStyle58"/>
          <w:color w:val="303030"/>
        </w:rPr>
        <w:t xml:space="preserve">lo :</w:t>
        <w:tab/>
      </w:r>
      <w:r>
        <w:rPr>
          <w:rStyle w:val="CharStyle58"/>
          <w:color w:val="656361"/>
        </w:rPr>
        <w:t xml:space="preserve">AlDl.H.GK </w:t>
      </w:r>
      <w:r>
        <w:rPr>
          <w:rStyle w:val="CharStyle58"/>
          <w:color w:val="303030"/>
        </w:rPr>
        <w:t>L</w:t>
      </w:r>
      <w:r>
        <w:rPr>
          <w:rStyle w:val="CharStyle58"/>
          <w:color w:val="656361"/>
        </w:rPr>
        <w:t>AMI</w:t>
      </w:r>
    </w:p>
    <w:p>
      <w:pPr>
        <w:pStyle w:val="Style57"/>
        <w:keepNext w:val="0"/>
        <w:keepLines w:val="0"/>
        <w:widowControl w:val="0"/>
        <w:shd w:val="clear" w:color="auto" w:fill="auto"/>
        <w:spacing w:before="0" w:after="280" w:line="286" w:lineRule="auto"/>
        <w:ind w:left="620" w:right="0" w:firstLine="20"/>
        <w:jc w:val="left"/>
        <w:rPr>
          <w:sz w:val="15"/>
        </w:rPr>
      </w:pPr>
      <w:r>
        <w:rPr>
          <w:rStyle w:val="CharStyle58"/>
          <w:b/>
          <w:color w:val="303030"/>
        </w:rPr>
        <w:t xml:space="preserve">Objet: STAT : MH octroie </w:t>
      </w:r>
      <w:r>
        <w:rPr>
          <w:rStyle w:val="CharStyle58"/>
          <w:b/>
          <w:color w:val="656361"/>
        </w:rPr>
        <w:t xml:space="preserve">une subvention de 7,5 millions de dollars </w:t>
      </w:r>
      <w:r>
        <w:rPr>
          <w:rStyle w:val="CharStyle58"/>
          <w:b/>
          <w:color w:val="303030"/>
        </w:rPr>
        <w:t xml:space="preserve"> </w:t>
      </w:r>
      <w:r>
        <w:rPr>
          <w:rStyle w:val="CharStyle58"/>
          <w:b/>
          <w:color w:val="000000"/>
        </w:rPr>
        <w:t xml:space="preserve">à </w:t>
      </w:r>
      <w:r>
        <w:rPr>
          <w:rStyle w:val="CharStyle58"/>
          <w:b/>
          <w:color w:val="303030"/>
        </w:rPr>
        <w:t xml:space="preserve">l'Alliance Ecoltealrh, après le tollé suscité par l'ingérence </w:t>
      </w:r>
      <w:r>
        <w:rPr>
          <w:rStyle w:val="CharStyle58"/>
          <w:b/>
          <w:color w:val="303030"/>
        </w:rPr>
        <w:t xml:space="preserve"> politique</w:t>
      </w:r>
    </w:p>
    <w:p>
      <w:pPr>
        <w:pStyle w:val="Style18"/>
        <w:keepNext w:val="0"/>
        <w:keepLines w:val="0"/>
        <w:widowControl w:val="0"/>
        <w:shd w:val="clear" w:color="auto" w:fill="auto"/>
        <w:spacing w:before="0" w:after="1380" w:line="240" w:lineRule="auto"/>
        <w:ind w:left="620" w:right="0" w:firstLine="20"/>
        <w:jc w:val="left"/>
        <w:rPr>
          <w:sz w:val="14"/>
        </w:rPr>
      </w:pPr>
      <w:r>
        <w:rPr>
          <w:rStyle w:val="CharStyle19"/>
          <w:rFonts w:ascii="Arial" w:hAnsi="Arial" w:cs="Arial" w:eastAsia="Arial"/>
          <w:color w:val="656361"/>
          <w:sz w:val="48"/>
          <w:u w:val="single"/>
        </w:rPr>
        <w:t xml:space="preserve">NIH accorde une subvention de 7,5 millions de dollars à EcoHealth Alliance, des mois après le tollé suscité par l'ingérence</w:t>
      </w:r>
      <w:r>
        <w:rPr>
          <w:rStyle w:val="CharStyle19"/>
          <w:rFonts w:ascii="Arial" w:hAnsi="Arial" w:cs="Arial" w:eastAsia="Arial"/>
          <w:color w:val="A0A1A1"/>
          <w:sz w:val="14"/>
        </w:rPr>
        <w:t xml:space="preserve"> </w:t>
      </w:r>
      <w:r>
        <w:rPr>
          <w:rStyle w:val="CharStyle19"/>
          <w:rFonts w:ascii="Arial" w:hAnsi="Arial" w:cs="Arial" w:eastAsia="Arial"/>
          <w:color w:val="656361"/>
          <w:sz w:val="48"/>
          <w:u w:val="single"/>
        </w:rPr>
        <w:t xml:space="preserve">politique </w:t>
      </w:r>
      <w:r>
        <w:rPr>
          <w:rStyle w:val="CharStyle19"/>
          <w:rFonts w:ascii="Arial" w:hAnsi="Arial" w:cs="Arial" w:eastAsia="Arial"/>
          <w:color w:val="656361"/>
          <w:sz w:val="14"/>
        </w:rPr>
        <w:t xml:space="preserve">B /</w:t>
      </w:r>
      <w:r>
        <w:rPr>
          <w:rStyle w:val="CharStyle19"/>
          <w:rFonts w:ascii="Arial" w:hAnsi="Arial" w:cs="Arial" w:eastAsia="Arial"/>
          <w:color w:val="656361"/>
          <w:sz w:val="14"/>
          <w:u w:val="single"/>
        </w:rPr>
        <w:t xml:space="preserve">HFI FNBRANSWFll </w:t>
      </w:r>
      <w:r>
        <w:rPr>
          <w:rStyle w:val="CharStyle19"/>
          <w:rFonts w:ascii="Arial" w:hAnsi="Arial" w:cs="Arial" w:eastAsia="Arial"/>
          <w:color w:val="A0A1A1"/>
          <w:sz w:val="14"/>
          <w:u w:val="single"/>
        </w:rPr>
        <w:t xml:space="preserve">CT HelenRmrwwAll</w:t>
      </w:r>
      <w:r>
        <w:rPr>
          <w:rStyle w:val="CharStyle19"/>
          <w:rFonts w:ascii="Arial" w:hAnsi="Arial" w:cs="Arial" w:eastAsia="Arial"/>
          <w:color w:val="656361"/>
          <w:sz w:val="14"/>
        </w:rPr>
        <w:t>AUGUST27.2020</w: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Le Dr Morens a décrit ces déclarations avec dédain comme étant simplement de l’«humour noir typique» qu’il partageait avec le Dr Daszak et d’autres.</w:t>
        <w:footnoteReference w:id="418"/>
      </w:r>
    </w:p>
    <w:p>
      <w:pPr>
        <w:pStyle w:val="Style24"/>
        <w:keepNext w:val="0"/>
        <w:keepLines w:val="0"/>
        <w:widowControl w:val="0"/>
        <w:shd w:val="clear" w:color="auto" w:fill="auto"/>
        <w:spacing w:before="0" w:after="280"/>
        <w:ind w:left="0" w:right="0" w:firstLine="740"/>
        <w:jc w:val="left"/>
      </w:pPr>
      <w:r>
        <w:rPr>
          <w:rStyle w:val="CharStyle25"/>
          <w:u w:val="single"/>
        </w:rPr>
        <w:t xml:space="preserve">Dr David Morens (22 mai 2024)</w:t>
      </w:r>
    </w:p>
    <w:p>
      <w:pPr>
        <w:pStyle w:val="Style24"/>
        <w:keepNext w:val="0"/>
        <w:keepLines w:val="0"/>
        <w:widowControl w:val="0"/>
        <w:shd w:val="clear" w:color="auto" w:fill="auto"/>
        <w:spacing w:before="0" w:after="280"/>
        <w:ind w:left="1460" w:right="0" w:hanging="720"/>
        <w:jc w:val="left"/>
      </w:pPr>
      <w:r>
        <w:rPr>
          <w:rStyle w:val="CharStyle25"/>
        </w:rPr>
        <w:t xml:space="preserve">Q. Il semble que vous ayez une relation très confortable avec Peter Daszak. Vous avez indiqué qu'il était un bon ami. Je veux dire, je dois après avoir lu ce courriel de la pièce 6, le 27 août 2020, après que NIH a reçu une subvention de 7,5 millions de dollars à EcoHealth Alliance, vous lui avez écrit et vous lui avez demandé: «Est-ce que je reçois un pot-de-vin? Trop d'argent fantaisiste F-o-o-k-i-n-g. Tu mérites tout? Discutons-en. » Voulez-vous nous expliquer?</w:t>
      </w:r>
    </w:p>
    <w:p>
      <w:pPr>
        <w:pStyle w:val="Style24"/>
        <w:keepNext w:val="0"/>
        <w:keepLines w:val="0"/>
        <w:widowControl w:val="0"/>
        <w:shd w:val="clear" w:color="auto" w:fill="auto"/>
        <w:spacing w:before="0" w:after="300" w:line="259" w:lineRule="auto"/>
        <w:ind w:left="1460" w:right="0" w:hanging="720"/>
        <w:jc w:val="left"/>
      </w:pPr>
      <w:r>
        <w:rPr>
          <w:rStyle w:val="CharStyle25"/>
        </w:rPr>
        <w:t xml:space="preserve">R. C'est l'humour noir typique entre les gens, comme Peter et moi et d'autres personnes qui apparaissent dans ces courriels.</w:t>
      </w:r>
    </w:p>
    <w:p>
      <w:pPr>
        <w:pStyle w:val="Style24"/>
        <w:keepNext w:val="0"/>
        <w:keepLines w:val="0"/>
        <w:widowControl w:val="0"/>
        <w:shd w:val="clear" w:color="auto" w:fill="auto"/>
        <w:spacing w:before="0" w:after="3020"/>
        <w:ind w:left="0" w:right="0" w:firstLine="740"/>
        <w:jc w:val="left"/>
      </w:pPr>
      <w:r>
        <w:rPr>
          <w:rStyle w:val="CharStyle25"/>
        </w:rPr>
        <w:t xml:space="preserve">Le Dr Morens a également envoyé plusieurs courriels contenant des propos violents ou dénigrants à propos du sénateur Paul en raison de ses efforts de surveillance concernant le NIAID et de son enquête sur les origines de la COVID-19. Plus précisément, le Dr Morens a écrit que le sénateur Paul «ne sait probablement pas comment «f*%$ lui-même».</w:t>
        <w:footnoteReference w:id="419"/>
      </w:r>
    </w:p>
    <w:p>
      <w:pPr>
        <w:pStyle w:val="Style24"/>
        <w:keepNext w:val="0"/>
        <w:keepLines w:val="0"/>
        <w:widowControl w:val="0"/>
        <w:shd w:val="clear" w:color="auto" w:fill="auto"/>
        <w:spacing w:before="0" w:after="0" w:line="240" w:lineRule="auto"/>
        <w:ind w:left="0" w:right="0" w:firstLine="0"/>
        <w:jc w:val="center"/>
      </w:pPr>
      <w:r>
        <w:rPr>
          <w:rStyle w:val="CharStyle25"/>
        </w:rPr>
        <w:t xml:space="preserve">[REMAINDER OF PAGE INTENTIONALLY BLANK]</w:t>
      </w:r>
    </w:p>
    <w:p>
      <w:pPr>
        <w:pStyle w:val="Style36"/>
        <w:keepNext w:val="0"/>
        <w:keepLines w:val="0"/>
        <w:widowControl w:val="0"/>
        <w:shd w:val="clear" w:color="auto" w:fill="auto"/>
        <w:tabs>
          <w:tab w:pos="2454" w:val="left"/>
          <w:tab w:pos="6035" w:val="left"/>
        </w:tabs>
        <w:spacing w:before="0" w:after="0" w:line="240" w:lineRule="auto"/>
        <w:ind w:left="0" w:right="0" w:firstLine="520"/>
        <w:jc w:val="left"/>
        <w:rPr>
          <w:sz w:val="17"/>
        </w:rPr>
      </w:pPr>
      <w:r>
        <w:rPr>
          <w:rStyle w:val="CharStyle37"/>
          <w:b/>
          <w:color w:val="000000"/>
          <w:sz w:val="17"/>
        </w:rPr>
        <w:t xml:space="preserve">limn : M ⁇</w:t>
      </w:r>
      <w:r>
        <w:rPr>
          <w:rStyle w:val="CharStyle37"/>
          <w:b/>
          <w:color w:val="303030"/>
          <w:sz w:val="17"/>
        </w:rPr>
        <w:t>.</w:t>
        <w:tab/>
        <w:t xml:space="preserve">■ </w:t>
      </w:r>
      <w:r>
        <w:rPr>
          <w:rStyle w:val="CharStyle37"/>
          <w:b/>
          <w:color w:val="000000"/>
          <w:sz w:val="17"/>
        </w:rPr>
        <w:t xml:space="preserve">1 ( H i II. II </w:t>
      </w:r>
      <w:r>
        <w:rPr>
          <w:rStyle w:val="CharStyle37"/>
          <w:b/>
          <w:color w:val="303030"/>
          <w:sz w:val="17"/>
        </w:rPr>
        <w:t xml:space="preserve">i </w:t>
      </w:r>
      <w:r>
        <w:rPr>
          <w:rStyle w:val="CharStyle37"/>
          <w:b/>
          <w:color w:val="000000"/>
          <w:sz w:val="17"/>
        </w:rPr>
        <w:t xml:space="preserve">A 11) I.</w:t>
        <w:tab/>
        <w:t>■</w:t>
      </w:r>
    </w:p>
    <w:p>
      <w:pPr>
        <w:pStyle w:val="Style24"/>
        <w:keepNext w:val="0"/>
        <w:keepLines w:val="0"/>
        <w:widowControl w:val="0"/>
        <w:shd w:val="clear" w:color="auto" w:fill="auto"/>
        <w:spacing w:before="0" w:after="0" w:line="266" w:lineRule="auto"/>
        <w:ind w:left="0" w:right="0" w:firstLine="520"/>
        <w:jc w:val="left"/>
        <w:rPr>
          <w:sz w:val="24"/>
        </w:rPr>
      </w:pPr>
      <w:r>
        <w:rPr>
          <w:rStyle w:val="CharStyle25"/>
          <w:b/>
          <w:color w:val="303030"/>
          <w:sz w:val="24"/>
        </w:rPr>
        <w:t xml:space="preserve">Setn : </w:t>
      </w:r>
      <w:r>
        <w:rPr>
          <w:rStyle w:val="CharStyle25"/>
          <w:rFonts w:ascii="Arial" w:hAnsi="Arial" w:cs="Arial" w:eastAsia="Arial"/>
          <w:color w:val="464648"/>
          <w:sz w:val="24"/>
        </w:rPr>
        <w:t xml:space="preserve">Dimanche, </w:t>
      </w:r>
      <w:r>
        <w:rPr>
          <w:rStyle w:val="CharStyle25"/>
          <w:color w:val="303030"/>
        </w:rPr>
        <w:t xml:space="preserve">juillet 25,2U21 </w:t>
      </w:r>
      <w:r>
        <w:rPr>
          <w:rStyle w:val="CharStyle25"/>
          <w:rFonts w:ascii="Arial" w:hAnsi="Arial" w:cs="Arial" w:eastAsia="Arial"/>
          <w:color w:val="303030"/>
          <w:sz w:val="24"/>
        </w:rPr>
        <w:t xml:space="preserve">$10 PM</w:t>
      </w:r>
    </w:p>
    <w:p>
      <w:pPr>
        <w:pStyle w:val="Style24"/>
        <w:keepNext w:val="0"/>
        <w:keepLines w:val="0"/>
        <w:widowControl w:val="0"/>
        <w:shd w:val="clear" w:color="auto" w:fill="auto"/>
        <w:tabs>
          <w:tab w:pos="5483" w:val="left"/>
        </w:tabs>
        <w:spacing w:before="0" w:after="0" w:line="266" w:lineRule="auto"/>
        <w:ind w:left="0" w:right="0" w:firstLine="520"/>
        <w:jc w:val="left"/>
      </w:pPr>
      <w:r>
        <w:rPr>
          <w:rStyle w:val="CharStyle25"/>
          <w:b/>
          <w:color w:val="303030"/>
          <w:sz w:val="24"/>
          <w:u w:val="single"/>
        </w:rPr>
        <w:t xml:space="preserve">À l'attention de: </w:t>
      </w:r>
      <w:r>
        <w:rPr>
          <w:rStyle w:val="CharStyle25"/>
          <w:rFonts w:ascii="Arial" w:hAnsi="Arial" w:cs="Arial" w:eastAsia="Arial"/>
          <w:color w:val="303030"/>
          <w:sz w:val="24"/>
          <w:u w:val="single"/>
        </w:rPr>
        <w:t>Peter</w:t>
      </w:r>
      <w:r>
        <w:rPr>
          <w:rStyle w:val="CharStyle25"/>
          <w:rFonts w:ascii="Arial" w:hAnsi="Arial" w:cs="Arial" w:eastAsia="Arial"/>
          <w:color w:val="303030"/>
          <w:sz w:val="24"/>
        </w:rPr>
        <w:t xml:space="preserve"> </w:t>
      </w:r>
      <w:r>
        <w:rPr>
          <w:rStyle w:val="CharStyle25"/>
          <w:color w:val="464648"/>
        </w:rPr>
        <w:t xml:space="preserve">Keusch et </w:t>
      </w:r>
      <w:r>
        <w:rPr>
          <w:rStyle w:val="CharStyle25"/>
          <w:color w:val="303030"/>
        </w:rPr>
        <w:t xml:space="preserve">Gerald T.</w:t>
      </w:r>
    </w:p>
    <w:p>
      <w:pPr>
        <w:pStyle w:val="Style24"/>
        <w:keepNext w:val="0"/>
        <w:keepLines w:val="0"/>
        <w:widowControl w:val="0"/>
        <w:shd w:val="clear" w:color="auto" w:fill="auto"/>
        <w:spacing w:before="0" w:after="0" w:line="293" w:lineRule="auto"/>
        <w:ind w:left="0" w:right="0" w:firstLine="0"/>
        <w:jc w:val="center"/>
      </w:pPr>
      <w:r>
        <w:rPr>
          <w:rStyle w:val="CharStyle25"/>
        </w:rPr>
        <w:t>(</w:t>
      </w:r>
      <w:r>
        <w:rPr>
          <w:rStyle w:val="CharStyle25"/>
          <w:color w:val="303030"/>
          <w:vertAlign w:val="superscript"/>
        </w:rPr>
        <w:t>1</w:t>
      </w:r>
      <w:r>
        <w:rPr>
          <w:rStyle w:val="CharStyle25"/>
          <w:color w:val="303030"/>
        </w:rPr>
        <w:t xml:space="preserve"> </w:t>
      </w:r>
      <w:r>
        <w:rPr>
          <w:rStyle w:val="CharStyle25"/>
        </w:rPr>
        <w:t xml:space="preserve">ris, </w:t>
      </w:r>
      <w:r>
        <w:rPr>
          <w:rStyle w:val="CharStyle25"/>
          <w:color w:val="303030"/>
        </w:rPr>
        <w:t>i</w:t>
      </w:r>
      <w:r>
        <w:rPr>
          <w:rStyle w:val="CharStyle25"/>
          <w:smallCaps/>
          <w:sz w:val="20"/>
        </w:rPr>
        <w:t>l</w:t>
      </w:r>
      <w:r>
        <w:rPr>
          <w:rStyle w:val="CharStyle25"/>
        </w:rPr>
        <w:t xml:space="preserve"> h</w:t>
      </w:r>
      <w:r>
        <w:rPr>
          <w:rStyle w:val="CharStyle25"/>
          <w:color w:val="303030"/>
        </w:rPr>
        <w:t xml:space="preserve">; 1</w:t>
      </w:r>
      <w:r>
        <w:rPr>
          <w:rStyle w:val="CharStyle25"/>
        </w:rPr>
        <w:t>1</w:t>
      </w:r>
      <w:r>
        <w:rPr>
          <w:rStyle w:val="CharStyle25"/>
          <w:color w:val="303030"/>
        </w:rPr>
        <w:t xml:space="preserve">11 </w:t>
      </w:r>
      <w:r>
        <w:rPr>
          <w:rStyle w:val="CharStyle25"/>
          <w:smallCaps/>
          <w:sz w:val="20"/>
        </w:rPr>
        <w:t>l</w:t>
      </w:r>
      <w:r>
        <w:rPr>
          <w:rStyle w:val="CharStyle25"/>
        </w:rPr>
        <w:t xml:space="preserve"> </w:t>
      </w:r>
      <w:r>
        <w:rPr>
          <w:rStyle w:val="CharStyle25"/>
          <w:color w:val="303030"/>
        </w:rPr>
        <w:t xml:space="preserve">ez, </w:t>
      </w:r>
      <w:r>
        <w:rPr>
          <w:rStyle w:val="CharStyle25"/>
        </w:rPr>
        <w:t>I</w:t>
      </w:r>
      <w:r>
        <w:rPr>
          <w:rStyle w:val="CharStyle25"/>
          <w:color w:val="303030"/>
        </w:rPr>
        <w:t xml:space="preserve">’ et e r</w:t>
      </w:r>
    </w:p>
    <w:p>
      <w:pPr>
        <w:pStyle w:val="Style24"/>
        <w:keepNext w:val="0"/>
        <w:keepLines w:val="0"/>
        <w:widowControl w:val="0"/>
        <w:shd w:val="clear" w:color="auto" w:fill="auto"/>
        <w:spacing w:before="0" w:after="0" w:line="293" w:lineRule="auto"/>
        <w:ind w:left="520" w:right="0" w:firstLine="20"/>
        <w:jc w:val="left"/>
      </w:pPr>
      <w:r>
        <w:rPr>
          <w:rStyle w:val="CharStyle25"/>
          <w:color w:val="303030"/>
        </w:rPr>
        <w:t>Jay</w:t>
      </w:r>
    </w:p>
    <w:p>
      <w:pPr>
        <w:pStyle w:val="Style18"/>
        <w:keepNext w:val="0"/>
        <w:keepLines w:val="0"/>
        <w:widowControl w:val="0"/>
        <w:shd w:val="clear" w:color="auto" w:fill="auto"/>
        <w:spacing w:before="0" w:after="0" w:line="266" w:lineRule="auto"/>
        <w:ind w:left="520" w:right="0" w:firstLine="20"/>
        <w:jc w:val="left"/>
        <w:rPr>
          <w:sz w:val="24"/>
        </w:rPr>
      </w:pPr>
      <w:r>
        <w:rPr>
          <w:rStyle w:val="CharStyle19"/>
          <w:b/>
          <w:color w:val="303030"/>
          <w:sz w:val="24"/>
        </w:rPr>
        <w:t xml:space="preserve">Cc </w:t>
      </w:r>
      <w:r>
        <w:rPr>
          <w:rStyle w:val="CharStyle19"/>
          <w:rFonts w:ascii="Arial" w:hAnsi="Arial" w:cs="Arial" w:eastAsia="Arial"/>
          <w:color w:val="303030"/>
          <w:sz w:val="24"/>
        </w:rPr>
        <w:t xml:space="preserve">Robe </w:t>
      </w:r>
      <w:r>
        <w:rPr>
          <w:rStyle w:val="CharStyle19"/>
          <w:smallCaps/>
          <w:color w:val="303030"/>
          <w:sz w:val="20"/>
        </w:rPr>
        <w:t>il</w:t>
      </w:r>
      <w:r>
        <w:rPr>
          <w:rStyle w:val="CharStyle19"/>
          <w:rFonts w:ascii="Arial" w:hAnsi="Arial" w:cs="Arial" w:eastAsia="Arial"/>
          <w:color w:val="303030"/>
          <w:sz w:val="24"/>
        </w:rPr>
        <w:t xml:space="preserve"> </w:t>
      </w:r>
      <w:r>
        <w:rPr>
          <w:rStyle w:val="CharStyle19"/>
          <w:rFonts w:ascii="Arial" w:hAnsi="Arial" w:cs="Arial" w:eastAsia="Arial"/>
          <w:color w:val="464648"/>
          <w:sz w:val="24"/>
        </w:rPr>
        <w:t>Kessler</w:t>
      </w:r>
    </w:p>
    <w:p>
      <w:pPr>
        <w:pStyle w:val="Style24"/>
        <w:keepNext w:val="0"/>
        <w:keepLines w:val="0"/>
        <w:widowControl w:val="0"/>
        <w:shd w:val="clear" w:color="auto" w:fill="auto"/>
        <w:spacing w:before="0" w:after="560" w:line="266" w:lineRule="auto"/>
        <w:ind w:left="520" w:right="0" w:firstLine="20"/>
        <w:jc w:val="left"/>
      </w:pPr>
      <w:r>
        <w:rPr>
          <w:rStyle w:val="CharStyle25"/>
          <w:b/>
          <w:color w:val="303030"/>
          <w:sz w:val="24"/>
        </w:rPr>
        <w:t xml:space="preserve">Objet: </w:t>
      </w:r>
      <w:r>
        <w:rPr>
          <w:rStyle w:val="CharStyle25"/>
          <w:rFonts w:ascii="Arial" w:hAnsi="Arial" w:cs="Arial" w:eastAsia="Arial"/>
          <w:color w:val="303030"/>
          <w:sz w:val="24"/>
        </w:rPr>
        <w:t xml:space="preserve">En ce qui concerne: Exploitez </w:t>
      </w:r>
      <w:r>
        <w:rPr>
          <w:rStyle w:val="CharStyle25"/>
          <w:color w:val="303030"/>
        </w:rPr>
        <w:t xml:space="preserve">l'avertissement de langue!</w:t>
      </w:r>
    </w:p>
    <w:p>
      <w:pPr>
        <w:pStyle w:val="Style24"/>
        <w:keepNext w:val="0"/>
        <w:keepLines w:val="0"/>
        <w:widowControl w:val="0"/>
        <w:shd w:val="clear" w:color="auto" w:fill="auto"/>
        <w:spacing w:before="0" w:after="280" w:line="293" w:lineRule="auto"/>
        <w:ind w:left="520" w:right="0" w:firstLine="20"/>
        <w:jc w:val="left"/>
      </w:pPr>
      <w:r>
        <w:rPr>
          <w:rStyle w:val="CharStyle25"/>
          <w:color w:val="303030"/>
        </w:rPr>
        <w:t xml:space="preserve">Il ne sait probablement pas comment F *% $ lui-même, car il a échoué à l'anatomie. Et toutes les autres </w:t>
      </w:r>
      <w:r>
        <w:rPr>
          <w:rStyle w:val="CharStyle25"/>
          <w:color w:val="464648"/>
        </w:rPr>
        <w:t xml:space="preserve">matières de l'école de médecine, </w:t>
      </w:r>
      <w:r>
        <w:rPr>
          <w:rStyle w:val="CharStyle25"/>
          <w:color w:val="303030"/>
        </w:rPr>
        <w:t>d</w:t>
      </w:r>
    </w:p>
    <w:p>
      <w:pPr>
        <w:pStyle w:val="Style24"/>
        <w:keepNext w:val="0"/>
        <w:keepLines w:val="0"/>
        <w:widowControl w:val="0"/>
        <w:shd w:val="clear" w:color="auto" w:fill="auto"/>
        <w:spacing w:before="0" w:after="280" w:line="293" w:lineRule="auto"/>
        <w:ind w:left="0" w:right="0" w:firstLine="520"/>
        <w:jc w:val="left"/>
      </w:pPr>
      <w:r>
        <w:rPr>
          <w:rStyle w:val="CharStyle25"/>
          <w:color w:val="303030"/>
        </w:rPr>
        <w:t xml:space="preserve">Le 25/07/2021 à 15h20, Peter Daszak a écrit:</w:t>
      </w:r>
    </w:p>
    <w:p>
      <w:pPr>
        <w:pStyle w:val="Style24"/>
        <w:keepNext w:val="0"/>
        <w:keepLines w:val="0"/>
        <w:widowControl w:val="0"/>
        <w:shd w:val="clear" w:color="auto" w:fill="auto"/>
        <w:spacing w:before="0" w:after="280" w:line="266" w:lineRule="auto"/>
        <w:ind w:left="1180" w:right="0" w:firstLine="20"/>
        <w:jc w:val="left"/>
      </w:pPr>
      <w:r>
        <w:rPr>
          <w:rStyle w:val="CharStyle25"/>
          <w:rFonts w:ascii="Arial" w:hAnsi="Arial" w:cs="Arial" w:eastAsia="Arial"/>
          <w:sz w:val="24"/>
        </w:rPr>
        <w:t xml:space="preserve">1 </w:t>
      </w:r>
      <w:r>
        <w:rPr>
          <w:rStyle w:val="CharStyle25"/>
          <w:rFonts w:ascii="Arial" w:hAnsi="Arial" w:cs="Arial" w:eastAsia="Arial"/>
          <w:color w:val="303030"/>
          <w:sz w:val="24"/>
        </w:rPr>
        <w:t xml:space="preserve">leurre est une histoire, </w:t>
      </w:r>
      <w:r>
        <w:rPr>
          <w:rStyle w:val="CharStyle25"/>
          <w:color w:val="303030"/>
        </w:rPr>
        <w:t xml:space="preserve">pas fur the EairihheartecL</w:t>
      </w:r>
    </w:p>
    <w:p>
      <w:pPr>
        <w:pStyle w:val="Style24"/>
        <w:keepNext w:val="0"/>
        <w:keepLines w:val="0"/>
        <w:widowControl w:val="0"/>
        <w:shd w:val="clear" w:color="auto" w:fill="auto"/>
        <w:spacing w:before="0" w:after="280" w:line="293" w:lineRule="auto"/>
        <w:ind w:left="1180" w:right="0" w:firstLine="20"/>
        <w:jc w:val="left"/>
      </w:pPr>
      <w:r>
        <w:rPr>
          <w:rStyle w:val="CharStyle25"/>
          <w:color w:val="303030"/>
        </w:rPr>
        <w:t xml:space="preserve">Il s’agit d’une question pour le sénateur (Dr) Rand Paul, posée par un membre </w:t>
      </w:r>
      <w:r>
        <w:rPr>
          <w:rStyle w:val="CharStyle25"/>
          <w:color w:val="464648"/>
        </w:rPr>
        <w:t xml:space="preserve">du public </w:t>
      </w:r>
      <w:r>
        <w:rPr>
          <w:rStyle w:val="CharStyle25"/>
          <w:color w:val="303030"/>
        </w:rPr>
        <w:t xml:space="preserve">qui a participé à l’une de ses séances publiques de questions-réponses.</w:t>
      </w:r>
    </w:p>
    <w:p>
      <w:pPr>
        <w:pStyle w:val="Style24"/>
        <w:keepNext w:val="0"/>
        <w:keepLines w:val="0"/>
        <w:widowControl w:val="0"/>
        <w:shd w:val="clear" w:color="auto" w:fill="auto"/>
        <w:spacing w:before="0" w:after="820" w:line="293" w:lineRule="auto"/>
        <w:ind w:left="1180" w:right="0" w:firstLine="20"/>
        <w:jc w:val="left"/>
      </w:pPr>
      <w:r>
        <w:rPr>
          <w:rStyle w:val="CharStyle25"/>
          <w:color w:val="303030"/>
        </w:rPr>
        <w:t xml:space="preserve">De toute évidence, on ne tolère pas ce niveau </w:t>
      </w:r>
      <w:r>
        <w:rPr>
          <w:rStyle w:val="CharStyle25"/>
          <w:color w:val="464648"/>
        </w:rPr>
        <w:t xml:space="preserve">de base de</w:t>
      </w:r>
    </w:p>
    <w:p>
      <w:pPr>
        <w:pStyle w:val="Style34"/>
        <w:keepNext/>
        <w:keepLines/>
        <w:widowControl w:val="0"/>
        <w:shd w:val="clear" w:color="auto" w:fill="auto"/>
        <w:spacing w:before="0" w:after="1060" w:line="240" w:lineRule="auto"/>
        <w:ind w:left="0" w:right="280" w:firstLine="0"/>
        <w:jc w:val="right"/>
        <w:rPr>
          <w:sz w:val="26"/>
        </w:rPr>
      </w:pPr>
      <w:bookmarkStart w:id="22" w:name="bookmark22"/>
      <w:r>
        <w:rPr>
          <w:rStyle w:val="CharStyle35"/>
          <w:rFonts w:ascii="Arial" w:hAnsi="Arial" w:cs="Arial" w:eastAsia="Arial"/>
          <w:color w:val="303030"/>
          <w:sz w:val="26"/>
        </w:rPr>
        <w:t>MORENS_SU0POENA^O21282</w:t>
      </w:r>
      <w:bookmarkEnd w:id="22"/>
    </w:p>
    <w:p>
      <w:pPr>
        <w:pStyle w:val="Style24"/>
        <w:keepNext w:val="0"/>
        <w:keepLines w:val="0"/>
        <w:widowControl w:val="0"/>
        <w:shd w:val="clear" w:color="auto" w:fill="auto"/>
        <w:spacing w:before="0" w:after="280" w:line="283" w:lineRule="auto"/>
        <w:ind w:left="1180" w:right="0" w:firstLine="20"/>
        <w:jc w:val="left"/>
      </w:pPr>
      <w:r>
        <w:rPr>
          <w:rStyle w:val="CharStyle25"/>
          <w:color w:val="303030"/>
        </w:rPr>
        <w:t xml:space="preserve">discours pubhc, mais je </w:t>
      </w:r>
      <w:r>
        <w:rPr>
          <w:rStyle w:val="CharStyle25"/>
          <w:color w:val="303030"/>
        </w:rPr>
        <w:t xml:space="preserve">me suis</w:t>
      </w:r>
      <w:r>
        <w:rPr>
          <w:rStyle w:val="CharStyle25"/>
          <w:color w:val="464648"/>
        </w:rPr>
        <w:t xml:space="preserve">trouvé </w:t>
      </w:r>
      <w:r>
        <w:rPr>
          <w:rStyle w:val="CharStyle25"/>
          <w:color w:val="303030"/>
        </w:rPr>
        <w:t xml:space="preserve">curieusement soutenu par </w:t>
      </w:r>
      <w:r>
        <w:rPr>
          <w:rStyle w:val="CharStyle25"/>
          <w:color w:val="464648"/>
        </w:rPr>
        <w:t xml:space="preserve">il après </w:t>
      </w:r>
      <w:r>
        <w:rPr>
          <w:rStyle w:val="CharStyle25"/>
          <w:color w:val="303030"/>
        </w:rPr>
        <w:t xml:space="preserve">ses </w:t>
      </w:r>
      <w:r>
        <w:rPr>
          <w:rStyle w:val="CharStyle25"/>
          <w:color w:val="464648"/>
        </w:rPr>
        <w:t xml:space="preserve">mois d'attaques</w:t>
      </w:r>
      <w:r>
        <w:rPr>
          <w:rStyle w:val="CharStyle25"/>
          <w:color w:val="303030"/>
        </w:rPr>
        <w:t>contre</w:t>
      </w:r>
      <w:r>
        <w:rPr>
          <w:rStyle w:val="CharStyle25"/>
          <w:color w:val="464648"/>
        </w:rPr>
        <w:t xml:space="preserve"> Lin Lied... </w:t>
      </w:r>
    </w:p>
    <w:p>
      <w:pPr>
        <w:pStyle w:val="Style24"/>
        <w:keepNext w:val="0"/>
        <w:keepLines w:val="0"/>
        <w:widowControl w:val="0"/>
        <w:shd w:val="clear" w:color="auto" w:fill="auto"/>
        <w:spacing w:before="0" w:after="280" w:line="286" w:lineRule="auto"/>
        <w:ind w:left="1180" w:right="0" w:firstLine="20"/>
        <w:jc w:val="left"/>
      </w:pPr>
      <w:r>
        <w:rPr>
          <w:rStyle w:val="CharStyle25"/>
          <w:color w:val="303030"/>
        </w:rPr>
        <w:t xml:space="preserve">Voici une </w:t>
      </w:r>
      <w:r>
        <w:rPr>
          <w:rStyle w:val="CharStyle25"/>
          <w:color w:val="464648"/>
        </w:rPr>
        <w:t>histoire:</w:t>
      </w:r>
    </w:p>
    <w:p>
      <w:pPr>
        <w:pStyle w:val="Style24"/>
        <w:keepNext w:val="0"/>
        <w:keepLines w:val="0"/>
        <w:widowControl w:val="0"/>
        <w:shd w:val="clear" w:color="auto" w:fill="auto"/>
        <w:spacing w:before="0" w:after="820" w:line="288" w:lineRule="auto"/>
        <w:ind w:left="1180" w:right="0" w:firstLine="20"/>
        <w:jc w:val="left"/>
      </w:pPr>
      <w:r>
        <w:rPr>
          <w:rStyle w:val="CharStyle25"/>
          <w:color w:val="464648"/>
          <w:u w:val="single"/>
        </w:rPr>
        <w:t>11L</w:t>
      </w:r>
      <w:r>
        <w:rPr>
          <w:rStyle w:val="CharStyle25"/>
          <w:color w:val="303030"/>
          <w:u w:val="single"/>
        </w:rPr>
        <w:t>I</w:t>
      </w:r>
      <w:r>
        <w:rPr>
          <w:rStyle w:val="CharStyle25"/>
          <w:color w:val="656361"/>
          <w:u w:val="single"/>
        </w:rPr>
        <w:t>iis://goodword.</w:t>
      </w:r>
      <w:r>
        <w:rPr>
          <w:rStyle w:val="CharStyle25"/>
          <w:color w:val="464648"/>
          <w:u w:val="single"/>
        </w:rPr>
        <w:t>te</w:t>
      </w:r>
      <w:r>
        <w:rPr>
          <w:rStyle w:val="CharStyle25"/>
          <w:color w:val="656361"/>
          <w:u w:val="single"/>
        </w:rPr>
        <w:t>ws.com/se</w:t>
      </w:r>
      <w:r>
        <w:rPr>
          <w:rStyle w:val="CharStyle25"/>
          <w:color w:val="464648"/>
          <w:u w:val="single"/>
        </w:rPr>
        <w:t>i</w:t>
      </w:r>
      <w:r>
        <w:rPr>
          <w:rStyle w:val="CharStyle25"/>
          <w:color w:val="656361"/>
          <w:u w:val="single"/>
        </w:rPr>
        <w:t>iat</w:t>
      </w:r>
      <w:r>
        <w:rPr>
          <w:rStyle w:val="CharStyle25"/>
          <w:color w:val="464648"/>
          <w:u w:val="single"/>
        </w:rPr>
        <w:t>u</w:t>
      </w:r>
      <w:r>
        <w:rPr>
          <w:rStyle w:val="CharStyle25"/>
          <w:color w:val="656361"/>
          <w:u w:val="single"/>
        </w:rPr>
        <w:t xml:space="preserve">r- </w:t>
      </w:r>
      <w:r>
        <w:rPr>
          <w:rStyle w:val="CharStyle25"/>
          <w:color w:val="464648"/>
        </w:rPr>
        <w:t>ra</w:t>
      </w:r>
      <w:r>
        <w:rPr>
          <w:rStyle w:val="CharStyle25"/>
          <w:color w:val="656361"/>
        </w:rPr>
        <w:t>1</w:t>
      </w:r>
      <w:r>
        <w:rPr>
          <w:rStyle w:val="CharStyle25"/>
          <w:color w:val="464648"/>
        </w:rPr>
        <w:t xml:space="preserve">1d■■ </w:t>
      </w:r>
      <w:r>
        <w:rPr>
          <w:rStyle w:val="CharStyle25"/>
          <w:color w:val="656361"/>
        </w:rPr>
        <w:t>j</w:t>
      </w:r>
      <w:r>
        <w:rPr>
          <w:rStyle w:val="CharStyle25"/>
          <w:color w:val="464648"/>
        </w:rPr>
        <w:t>a</w:t>
      </w:r>
      <w:r>
        <w:rPr>
          <w:rStyle w:val="CharStyle25"/>
          <w:smallCaps/>
          <w:color w:val="464648"/>
          <w:sz w:val="20"/>
        </w:rPr>
        <w:t>l</w:t>
      </w:r>
      <w:r>
        <w:rPr>
          <w:rStyle w:val="CharStyle25"/>
          <w:color w:val="464648"/>
        </w:rPr>
        <w:t>.I-s</w:t>
      </w:r>
      <w:r>
        <w:rPr>
          <w:rStyle w:val="CharStyle25"/>
          <w:color w:val="656361"/>
        </w:rPr>
        <w:t>a</w:t>
      </w:r>
      <w:r>
        <w:rPr>
          <w:rStyle w:val="CharStyle25"/>
          <w:color w:val="464648"/>
        </w:rPr>
        <w:t xml:space="preserve">i'J-m- </w:t>
      </w:r>
      <w:r>
        <w:rPr>
          <w:rStyle w:val="CharStyle25"/>
          <w:color w:val="656361"/>
          <w:u w:val="single"/>
        </w:rPr>
        <w:t xml:space="preserve">get-iu eked -at-vi rtu a I - ville </w:t>
      </w:r>
      <w:r>
        <w:rPr>
          <w:rStyle w:val="CharStyle25"/>
          <w:color w:val="464648"/>
          <w:u w:val="single"/>
        </w:rPr>
        <w:t xml:space="preserve">- </w:t>
      </w:r>
      <w:r>
        <w:rPr>
          <w:rStyle w:val="CharStyle25"/>
          <w:color w:val="656361"/>
          <w:u w:val="single"/>
        </w:rPr>
        <w:t>grêle/</w:t>
      </w:r>
    </w:p>
    <w:p>
      <w:pPr>
        <w:pStyle w:val="Style24"/>
        <w:keepNext w:val="0"/>
        <w:keepLines w:val="0"/>
        <w:widowControl w:val="0"/>
        <w:shd w:val="clear" w:color="auto" w:fill="auto"/>
        <w:spacing w:before="0" w:after="280" w:line="240" w:lineRule="auto"/>
        <w:ind w:left="1180" w:right="0" w:firstLine="20"/>
        <w:jc w:val="left"/>
      </w:pPr>
      <w:r>
        <w:rPr>
          <w:rStyle w:val="CharStyle25"/>
          <w:color w:val="303030"/>
        </w:rPr>
        <w:t xml:space="preserve">Voici la vidéo sur Twitter:</w:t>
      </w:r>
    </w:p>
    <w:p>
      <w:pPr>
        <w:pStyle w:val="Style24"/>
        <w:keepNext w:val="0"/>
        <w:keepLines w:val="0"/>
        <w:widowControl w:val="0"/>
        <w:shd w:val="clear" w:color="auto" w:fill="auto"/>
        <w:spacing w:before="0" w:after="280" w:line="240" w:lineRule="auto"/>
        <w:ind w:left="1180" w:right="0" w:firstLine="20"/>
        <w:jc w:val="left"/>
        <w:rPr>
          <w:sz w:val="24"/>
        </w:rPr>
      </w:pPr>
      <w:r>
        <w:rPr>
          <w:rStyle w:val="CharStyle25"/>
          <w:color w:val="838481"/>
          <w:sz w:val="24"/>
          <w:u w:val="single"/>
        </w:rPr>
        <w:t xml:space="preserve">hups;//EwiHer.com/pliil lewis /status/14186762450038184S6?s-10</w:t>
      </w:r>
    </w:p>
    <w:p>
      <w:pPr>
        <w:pStyle w:val="Style24"/>
        <w:keepNext w:val="0"/>
        <w:keepLines w:val="0"/>
        <w:widowControl w:val="0"/>
        <w:shd w:val="clear" w:color="auto" w:fill="auto"/>
        <w:spacing w:before="0" w:after="720"/>
        <w:ind w:left="0" w:right="0" w:firstLine="740"/>
        <w:jc w:val="left"/>
      </w:pPr>
      <w:r>
        <w:rPr>
          <w:rStyle w:val="CharStyle25"/>
        </w:rPr>
        <w:t xml:space="preserve">Le 10 juin 2020, le Dr Morens a promis au Dr Daszak qu’ils «régleraient les scores» et «se botteraient le cul». Difficile» en ce qui concerne le débat sur les origines de la COVID-19 et la subvention résiliée du Dr Daszak.</w:t>
        <w:footnoteReference w:id="420"/>
        <w:t xml:space="preserve"> Le Dr Morens est allé jusqu’à dire «[l]es pointes rectales ne sont pas interdites». </w:t>
        <w:footnoteReference w:id="421"/>
      </w:r>
    </w:p>
    <w:p>
      <w:pPr>
        <w:pStyle w:val="Style36"/>
        <w:keepNext w:val="0"/>
        <w:keepLines w:val="0"/>
        <w:widowControl w:val="0"/>
        <w:shd w:val="clear" w:color="auto" w:fill="auto"/>
        <w:tabs>
          <w:tab w:pos="1228" w:val="left"/>
        </w:tabs>
        <w:spacing w:before="0" w:after="0" w:line="295" w:lineRule="auto"/>
        <w:ind w:left="0" w:right="0" w:firstLine="180"/>
        <w:jc w:val="left"/>
      </w:pPr>
      <w:r>
        <w:rPr>
          <w:rStyle w:val="CharStyle37"/>
          <w:color w:val="303030"/>
        </w:rPr>
        <w:t xml:space="preserve">À partir de:</w:t>
        <w:tab/>
        <w:t xml:space="preserve">Morens, David (NIH/NIAID) [anglais]</w:t>
      </w:r>
    </w:p>
    <w:p>
      <w:pPr>
        <w:pStyle w:val="Style36"/>
        <w:keepNext w:val="0"/>
        <w:keepLines w:val="0"/>
        <w:widowControl w:val="0"/>
        <w:shd w:val="clear" w:color="auto" w:fill="auto"/>
        <w:tabs>
          <w:tab w:pos="1228" w:val="left"/>
        </w:tabs>
        <w:spacing w:before="0" w:after="0" w:line="240" w:lineRule="auto"/>
        <w:ind w:left="0" w:right="0" w:firstLine="180"/>
        <w:jc w:val="left"/>
      </w:pPr>
      <w:r>
        <w:rPr>
          <w:rStyle w:val="CharStyle37"/>
          <w:color w:val="000000"/>
        </w:rPr>
        <w:t>Envoyé:</w:t>
        <w:tab/>
      </w:r>
      <w:r>
        <w:rPr>
          <w:rStyle w:val="CharStyle37"/>
          <w:color w:val="303030"/>
        </w:rPr>
        <w:t xml:space="preserve">6/10/2020 </w:t>
      </w:r>
      <w:r>
        <w:rPr>
          <w:rStyle w:val="CharStyle37"/>
          <w:color w:val="000000"/>
        </w:rPr>
        <w:t>8:56^^^^^^^^^^^^^</w:t>
      </w:r>
    </w:p>
    <w:p>
      <w:pPr>
        <w:pStyle w:val="Style57"/>
        <w:keepNext w:val="0"/>
        <w:keepLines w:val="0"/>
        <w:widowControl w:val="0"/>
        <w:shd w:val="clear" w:color="auto" w:fill="auto"/>
        <w:tabs>
          <w:tab w:pos="1228" w:val="left"/>
        </w:tabs>
        <w:spacing w:before="0" w:after="0" w:line="240" w:lineRule="auto"/>
        <w:ind w:left="0" w:right="0" w:firstLine="180"/>
        <w:jc w:val="left"/>
      </w:pPr>
      <w:r>
        <w:rPr>
          <w:rStyle w:val="CharStyle58"/>
          <w:color w:val="000000"/>
          <w:sz w:val="16"/>
        </w:rPr>
        <w:t xml:space="preserve">À l'attention de:</w:t>
        <w:tab/>
      </w:r>
      <w:r>
        <w:rPr>
          <w:rStyle w:val="CharStyle58"/>
          <w:color w:val="303030"/>
        </w:rPr>
        <w:t xml:space="preserve">Peter Daszak</w:t>
      </w:r>
    </w:p>
    <w:p>
      <w:pPr>
        <w:pStyle w:val="Style36"/>
        <w:keepNext w:val="0"/>
        <w:keepLines w:val="0"/>
        <w:widowControl w:val="0"/>
        <w:shd w:val="clear" w:color="auto" w:fill="auto"/>
        <w:tabs>
          <w:tab w:pos="1228" w:val="left"/>
        </w:tabs>
        <w:spacing w:before="0" w:after="400" w:line="295" w:lineRule="auto"/>
        <w:ind w:left="0" w:right="0" w:firstLine="180"/>
        <w:jc w:val="left"/>
      </w:pPr>
      <w:r>
        <w:rPr>
          <w:rStyle w:val="CharStyle37"/>
          <w:color w:val="303030"/>
        </w:rPr>
        <w:t>Objet:</w:t>
        <w:tab/>
        <w:t xml:space="preserve">En ce qui concerne: Gardien : Ignorez les théories du complot: Les scientifiques savent que Covid-19 n'a pas été créé dans un laboratoire</w:t>
      </w:r>
    </w:p>
    <w:p>
      <w:pPr>
        <w:pStyle w:val="Style36"/>
        <w:keepNext w:val="0"/>
        <w:keepLines w:val="0"/>
        <w:widowControl w:val="0"/>
        <w:shd w:val="clear" w:color="auto" w:fill="auto"/>
        <w:spacing w:before="0" w:after="200" w:line="295" w:lineRule="auto"/>
        <w:ind w:left="180" w:right="0" w:firstLine="20"/>
        <w:jc w:val="left"/>
      </w:pPr>
      <w:r>
        <w:rPr>
          <w:rStyle w:val="CharStyle37"/>
          <w:color w:val="303030"/>
        </w:rPr>
        <w:t xml:space="preserve">Numéro 2, nous pouvons essayer de changer le monde. Numéro 1, gagnons cette bataille anti-scientifique, remboursons-nous et finançons-nous, puis réglons les comptes et bottons-nous le cul. Difficile. Les pointes rectales ne sont pas interdites. D</w:t>
      </w:r>
    </w:p>
    <w:p>
      <w:pPr>
        <w:pStyle w:val="Style36"/>
        <w:keepNext w:val="0"/>
        <w:keepLines w:val="0"/>
        <w:widowControl w:val="0"/>
        <w:shd w:val="clear" w:color="auto" w:fill="auto"/>
        <w:spacing w:before="0" w:after="0" w:line="295" w:lineRule="auto"/>
        <w:ind w:left="0" w:right="0" w:firstLine="180"/>
        <w:jc w:val="left"/>
      </w:pPr>
      <w:r>
        <w:rPr>
          <w:rStyle w:val="CharStyle37"/>
          <w:color w:val="303030"/>
        </w:rPr>
        <w:t xml:space="preserve">Envoyé depuis mon iPhone</w:t>
      </w:r>
    </w:p>
    <w:p>
      <w:pPr>
        <w:pStyle w:val="Style36"/>
        <w:keepNext w:val="0"/>
        <w:keepLines w:val="0"/>
        <w:widowControl w:val="0"/>
        <w:shd w:val="clear" w:color="auto" w:fill="auto"/>
        <w:spacing w:before="0" w:after="0" w:line="295" w:lineRule="auto"/>
        <w:ind w:left="0" w:right="0" w:firstLine="180"/>
        <w:jc w:val="left"/>
      </w:pPr>
      <w:r>
        <w:rPr>
          <w:rStyle w:val="CharStyle37"/>
          <w:color w:val="303030"/>
        </w:rPr>
        <w:t xml:space="preserve">David M Morens</w:t>
      </w:r>
    </w:p>
    <w:p>
      <w:pPr>
        <w:pStyle w:val="Style36"/>
        <w:keepNext w:val="0"/>
        <w:keepLines w:val="0"/>
        <w:widowControl w:val="0"/>
        <w:shd w:val="clear" w:color="auto" w:fill="auto"/>
        <w:spacing w:before="0" w:after="340" w:line="295" w:lineRule="auto"/>
        <w:ind w:left="0" w:right="0" w:firstLine="180"/>
        <w:jc w:val="left"/>
      </w:pPr>
      <w:r>
        <w:rPr>
          <w:rStyle w:val="CharStyle37"/>
          <w:color w:val="303030"/>
        </w:rPr>
        <w:t xml:space="preserve">OD, NIAID, NIH</w:t>
      </w:r>
    </w:p>
    <w:p>
      <w:pPr>
        <w:pStyle w:val="Style24"/>
        <w:keepNext w:val="0"/>
        <w:keepLines w:val="0"/>
        <w:widowControl w:val="0"/>
        <w:shd w:val="clear" w:color="auto" w:fill="auto"/>
        <w:spacing w:before="0" w:after="280"/>
        <w:ind w:left="0" w:right="0" w:firstLine="740"/>
        <w:jc w:val="left"/>
      </w:pPr>
      <w:r>
        <w:rPr>
          <w:rStyle w:val="CharStyle25"/>
        </w:rPr>
        <w:t xml:space="preserve">Le Dr Morens a été conseiller scientifique principal du Dr Fauci pendant plus de deux décennies. Les actions non professionnelles du Dr Morens soulèvent de sérieuses questions quant à l’intégrité du bureau du directeur du NIAID sous la direction du Dr Fauci.</w:t>
      </w:r>
    </w:p>
    <w:p>
      <w:pPr>
        <w:pStyle w:val="Style24"/>
        <w:keepNext w:val="0"/>
        <w:keepLines w:val="0"/>
        <w:widowControl w:val="0"/>
        <w:shd w:val="clear" w:color="auto" w:fill="auto"/>
        <w:spacing w:before="0" w:after="280" w:line="264" w:lineRule="auto"/>
        <w:ind w:left="0" w:right="0" w:firstLine="740"/>
        <w:jc w:val="left"/>
      </w:pPr>
      <w:r>
        <w:rPr>
          <w:rStyle w:val="CharStyle25"/>
        </w:rPr>
        <w:t xml:space="preserve">Le 22 mai 2024, lors de l’audition du Dr Morens devant la sous-commission spéciale, le président Wenstrup a déclaré:</w:t>
      </w:r>
    </w:p>
    <w:p>
      <w:pPr>
        <w:pStyle w:val="Style24"/>
        <w:keepNext w:val="0"/>
        <w:keepLines w:val="0"/>
        <w:widowControl w:val="0"/>
        <w:shd w:val="clear" w:color="auto" w:fill="auto"/>
        <w:spacing w:before="0" w:after="340"/>
        <w:ind w:left="740" w:right="0" w:firstLine="0"/>
        <w:jc w:val="left"/>
      </w:pPr>
      <w:r>
        <w:rPr>
          <w:rStyle w:val="CharStyle25"/>
        </w:rPr>
        <w:t xml:space="preserve">Franchement, certains des documents que nous avons reçus du Dr Morens étaient difficiles à lire. Je ne peux pas imaginer dire certaines choses, et encore moins les mettre par écrit. Le sous-comité restreint a découvert des communications dans lesquelles le Dr Morens a agi de manière inappropriée et tout à fait inappropriée pour un membre du service de santé publique qui reçoit un chèque de paie financé par les contribuables. </w:t>
        <w:footnoteReference w:id="422"/>
      </w:r>
    </w:p>
    <w:p>
      <w:pPr>
        <w:pStyle w:val="Style24"/>
        <w:keepNext w:val="0"/>
        <w:keepLines w:val="0"/>
        <w:widowControl w:val="0"/>
        <w:shd w:val="clear" w:color="auto" w:fill="auto"/>
        <w:spacing w:before="0" w:after="340" w:line="259" w:lineRule="auto"/>
        <w:ind w:left="1460" w:right="0" w:hanging="1460"/>
        <w:jc w:val="left"/>
      </w:pPr>
      <w:r>
        <w:rPr>
          <w:rStyle w:val="CharStyle25"/>
        </w:rPr>
        <w:t xml:space="preserve">CONSTATATION : Le Dr David Morens a probablement fourni un faux témoignage au Congrès en violation du 18 U.S.C. 1001.</w:t>
      </w: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Les éléments de preuve présentés tout au long du présent rapport établissent que le Dr Morens a fourni de faux témoignages au sous-comité restreint.</w:t>
      </w:r>
    </w:p>
    <w:p>
      <w:pPr>
        <w:pStyle w:val="Style24"/>
        <w:keepNext w:val="0"/>
        <w:keepLines w:val="0"/>
        <w:widowControl w:val="0"/>
        <w:shd w:val="clear" w:color="auto" w:fill="auto"/>
        <w:spacing w:before="0" w:after="300"/>
        <w:ind w:left="0" w:right="0" w:firstLine="740"/>
        <w:jc w:val="left"/>
      </w:pPr>
      <w:r>
        <w:rPr>
          <w:rStyle w:val="CharStyle25"/>
        </w:rPr>
        <w:t xml:space="preserve">C’est un crime fédéral que de faire des déclarations ou des représentations matériellement fausses au personnel de certains sous-comités et aux membres du Congrès au cours d’une enquête du Congrès « conduite en vertu de l’autorité de toute [...] sous-commission, [...] conformément aux règles applicables de la Chambre ou du Sénat ».</w:t>
        <w:footnoteReference w:id="423"/>
        <w:t xml:space="preserve"> Afin d’établir une violation du 18 U.S.C. 1001, le ministère de la Justice doit prouver au-delà de tout doute raisonnable les éléments suivants du crime :</w:t>
      </w:r>
    </w:p>
    <w:p>
      <w:pPr>
        <w:pStyle w:val="Style24"/>
        <w:keepNext w:val="0"/>
        <w:keepLines w:val="0"/>
        <w:widowControl w:val="0"/>
        <w:numPr>
          <w:ilvl w:val="0"/>
          <w:numId w:val="21"/>
        </w:numPr>
        <w:shd w:val="clear" w:color="auto" w:fill="auto"/>
        <w:tabs>
          <w:tab w:pos="721" w:val="left"/>
        </w:tabs>
        <w:spacing w:before="0" w:after="0" w:line="259" w:lineRule="auto"/>
        <w:ind w:left="0" w:right="0" w:firstLine="380"/>
        <w:jc w:val="left"/>
      </w:pPr>
      <w:r>
        <w:rPr>
          <w:rStyle w:val="CharStyle25"/>
        </w:rPr>
        <w:t xml:space="preserve">Le défendeur a fait la déclaration incriminée;</w:t>
      </w:r>
    </w:p>
    <w:p>
      <w:pPr>
        <w:pStyle w:val="Style24"/>
        <w:keepNext w:val="0"/>
        <w:keepLines w:val="0"/>
        <w:widowControl w:val="0"/>
        <w:numPr>
          <w:ilvl w:val="0"/>
          <w:numId w:val="21"/>
        </w:numPr>
        <w:shd w:val="clear" w:color="auto" w:fill="auto"/>
        <w:tabs>
          <w:tab w:pos="739" w:val="left"/>
        </w:tabs>
        <w:spacing w:before="0" w:after="0" w:line="259" w:lineRule="auto"/>
        <w:ind w:left="0" w:right="0" w:firstLine="380"/>
        <w:jc w:val="left"/>
      </w:pPr>
      <w:r>
        <w:rPr>
          <w:rStyle w:val="CharStyle25"/>
        </w:rPr>
        <w:t xml:space="preserve">La déclaration était fausse, fictive ou frauduleuse;</w:t>
      </w:r>
    </w:p>
    <w:p>
      <w:pPr>
        <w:pStyle w:val="Style24"/>
        <w:keepNext w:val="0"/>
        <w:keepLines w:val="0"/>
        <w:widowControl w:val="0"/>
        <w:numPr>
          <w:ilvl w:val="0"/>
          <w:numId w:val="21"/>
        </w:numPr>
        <w:shd w:val="clear" w:color="auto" w:fill="auto"/>
        <w:tabs>
          <w:tab w:pos="734" w:val="left"/>
        </w:tabs>
        <w:spacing w:before="0" w:after="0" w:line="259" w:lineRule="auto"/>
        <w:ind w:left="0" w:right="0" w:firstLine="380"/>
        <w:jc w:val="left"/>
      </w:pPr>
      <w:r>
        <w:rPr>
          <w:rStyle w:val="CharStyle25"/>
        </w:rPr>
        <w:t xml:space="preserve">La déclaration était importante;</w:t>
      </w:r>
    </w:p>
    <w:p>
      <w:pPr>
        <w:pStyle w:val="Style24"/>
        <w:keepNext w:val="0"/>
        <w:keepLines w:val="0"/>
        <w:widowControl w:val="0"/>
        <w:numPr>
          <w:ilvl w:val="0"/>
          <w:numId w:val="21"/>
        </w:numPr>
        <w:shd w:val="clear" w:color="auto" w:fill="auto"/>
        <w:tabs>
          <w:tab w:pos="739" w:val="left"/>
        </w:tabs>
        <w:spacing w:before="0" w:after="0" w:line="259" w:lineRule="auto"/>
        <w:ind w:left="0" w:right="0" w:firstLine="380"/>
        <w:jc w:val="left"/>
      </w:pPr>
      <w:r>
        <w:rPr>
          <w:rStyle w:val="CharStyle25"/>
        </w:rPr>
        <w:t xml:space="preserve">Le défendeur a agi sciemment et volontairement; et</w:t>
      </w:r>
    </w:p>
    <w:p>
      <w:pPr>
        <w:pStyle w:val="Style24"/>
        <w:keepNext w:val="0"/>
        <w:keepLines w:val="0"/>
        <w:widowControl w:val="0"/>
        <w:numPr>
          <w:ilvl w:val="0"/>
          <w:numId w:val="21"/>
        </w:numPr>
        <w:shd w:val="clear" w:color="auto" w:fill="auto"/>
        <w:tabs>
          <w:tab w:pos="734" w:val="left"/>
        </w:tabs>
        <w:spacing w:before="0" w:line="259" w:lineRule="auto"/>
        <w:ind w:left="740" w:right="0" w:hanging="360"/>
        <w:jc w:val="left"/>
      </w:pPr>
      <w:r>
        <w:rPr>
          <w:rStyle w:val="CharStyle25"/>
        </w:rPr>
        <w:t xml:space="preserve">La fausse déclaration portait sur une question relevant de la compétence de la branche législative du gouvernement des États-Unis. </w:t>
        <w:footnoteReference w:id="424"/>
      </w:r>
    </w:p>
    <w:p>
      <w:pPr>
        <w:pStyle w:val="Style24"/>
        <w:keepNext w:val="0"/>
        <w:keepLines w:val="0"/>
        <w:widowControl w:val="0"/>
        <w:shd w:val="clear" w:color="auto" w:fill="auto"/>
        <w:spacing w:before="0"/>
        <w:ind w:left="0" w:right="0" w:firstLine="740"/>
        <w:jc w:val="left"/>
      </w:pPr>
      <w:r>
        <w:rPr>
          <w:rStyle w:val="CharStyle25"/>
        </w:rPr>
        <w:t xml:space="preserve">Le Dr Morens savait que c'était un crime de faire des déclarations matériellement fausses pendant son entrevue transcrite. Le 18 janvier 2024, avant de témoigner lors d’un entretien transcrit devant le sous-comité restreint, le conseil du sous-comité restreint a averti le Dr Morens que, bien qu’il participait volontairement à l’entretien transcrit et n’ait pas prêté serment, il était « tenu, en vertu du titre 18, section 1001 du code des États-Unis, de répondre honnêtement aux questions du Congrès ». Le conseil du sous-comité restreint a informé le Dr Morens que cette obligation de répondre honnêtement « s’appliquait également aux questions posées par le personnel du Congrès ». Le Dr Morens a été interrogé s’il comprenait, et il a répondu par l’affirmative. En outre, l’avocat de Select Subcommittee a averti le Dr Morens que « [s]i à tout moment [il] faisait sciemment de fausses déclarations, [il] pouvait faire l’objet de poursuites pénales ». On a demandé au</w:t>
        <w:footnoteReference w:id="425"/>
        <w:t xml:space="preserve"> Dr Morens s’il comprenait, et il a répondu oui.</w:t>
        <w:footnoteReference w:id="426"/>
        <w:t xml:space="preserve"> Enfin, le conseil du sous-comité restreint a demandé au Dr Morens s’il y avait «une raison quelconque [qu’il] n’ait pas été en mesure de fournir un témoignage véridique lors de l’entretien d’aujourd’hui».</w:t>
        <w:footnoteReference w:id="427"/>
        <w:t xml:space="preserve"> Le Dr Morens a répondu non.</w:t>
        <w:footnoteReference w:id="428"/>
      </w:r>
    </w:p>
    <w:p>
      <w:pPr>
        <w:pStyle w:val="Style24"/>
        <w:keepNext w:val="0"/>
        <w:keepLines w:val="0"/>
        <w:widowControl w:val="0"/>
        <w:shd w:val="clear" w:color="auto" w:fill="auto"/>
        <w:spacing w:before="0" w:line="259" w:lineRule="auto"/>
        <w:ind w:left="0" w:right="0" w:firstLine="740"/>
        <w:jc w:val="left"/>
      </w:pPr>
      <w:r>
        <w:rPr>
          <w:rStyle w:val="CharStyle25"/>
        </w:rPr>
        <w:t xml:space="preserve">Les documents et informations en possession du sous-comité restreint établiront probablement que le Dr Morens a violé 18 U.S.C. 1001.</w:t>
      </w:r>
    </w:p>
    <w:p>
      <w:pPr>
        <w:pStyle w:val="Style24"/>
        <w:keepNext w:val="0"/>
        <w:keepLines w:val="0"/>
        <w:widowControl w:val="0"/>
        <w:shd w:val="clear" w:color="auto" w:fill="auto"/>
        <w:spacing w:before="0" w:line="264" w:lineRule="auto"/>
        <w:ind w:left="0" w:right="0" w:firstLine="740"/>
        <w:jc w:val="left"/>
      </w:pPr>
      <w:r>
        <w:rPr>
          <w:rStyle w:val="CharStyle25"/>
        </w:rPr>
        <w:t xml:space="preserve">Au cours de son entrevue transcrite, le personnel du sous-comité Select a demandé au Dr Morens s'il avait délibérément utilisé son compte de courriel personnel pour éviter la FOIA. Il a répondu : « [N]o. » Les documents établissent qu’il s’agit d’une fausse déclaration.</w:t>
      </w:r>
    </w:p>
    <w:p>
      <w:pPr>
        <w:pStyle w:val="Style24"/>
        <w:keepNext w:val="0"/>
        <w:keepLines w:val="0"/>
        <w:widowControl w:val="0"/>
        <w:shd w:val="clear" w:color="auto" w:fill="auto"/>
        <w:spacing w:before="0" w:line="259" w:lineRule="auto"/>
        <w:ind w:left="0" w:right="0" w:firstLine="740"/>
        <w:jc w:val="left"/>
      </w:pPr>
      <w:r>
        <w:rPr>
          <w:rStyle w:val="CharStyle25"/>
          <w:u w:val="single"/>
        </w:rPr>
        <w:t xml:space="preserve">Dr David Morens (18 janvier 2024)</w:t>
      </w:r>
    </w:p>
    <w:p>
      <w:pPr>
        <w:pStyle w:val="Style24"/>
        <w:keepNext w:val="0"/>
        <w:keepLines w:val="0"/>
        <w:widowControl w:val="0"/>
        <w:shd w:val="clear" w:color="auto" w:fill="auto"/>
        <w:spacing w:before="0" w:line="259" w:lineRule="auto"/>
        <w:ind w:left="1460" w:right="0" w:hanging="720"/>
        <w:jc w:val="left"/>
      </w:pPr>
      <w:r>
        <w:rPr>
          <w:rStyle w:val="CharStyle25"/>
        </w:rPr>
        <w:t xml:space="preserve">Q. Avez-vous déjà contourné la FOIA en utilisant un compte E-Mail personnel pour des discussions de travail officielles?</w:t>
      </w:r>
    </w:p>
    <w:p>
      <w:pPr>
        <w:pStyle w:val="Style24"/>
        <w:keepNext w:val="0"/>
        <w:keepLines w:val="0"/>
        <w:widowControl w:val="0"/>
        <w:shd w:val="clear" w:color="auto" w:fill="auto"/>
        <w:tabs>
          <w:tab w:pos="1388" w:val="left"/>
        </w:tabs>
        <w:spacing w:before="0" w:line="259" w:lineRule="auto"/>
        <w:ind w:left="0" w:right="0" w:firstLine="740"/>
        <w:jc w:val="left"/>
      </w:pPr>
      <w:r>
        <w:rPr>
          <w:rStyle w:val="CharStyle25"/>
        </w:rPr>
        <w:t>A.</w:t>
        <w:tab/>
        <w:t>Non.</w:t>
        <w:footnoteReference w:id="429"/>
      </w:r>
    </w:p>
    <w:p>
      <w:pPr>
        <w:pStyle w:val="Style24"/>
        <w:keepNext w:val="0"/>
        <w:keepLines w:val="0"/>
        <w:widowControl w:val="0"/>
        <w:shd w:val="clear" w:color="auto" w:fill="auto"/>
        <w:spacing w:before="0" w:line="259" w:lineRule="auto"/>
        <w:ind w:left="0" w:right="0" w:firstLine="740"/>
        <w:jc w:val="left"/>
      </w:pPr>
      <w:r>
        <w:rPr>
          <w:rStyle w:val="CharStyle25"/>
        </w:rPr>
        <w:t xml:space="preserve">Au cours de son entrevue transcrite, le personnel de Select Subcommittee a demandé au Dr Morens s'il avait déjà supprimé des courriels de son compte officiel. Il a répondu : « [N]o. » Les documents établissent qu’il s’agit d’une fausse déclaration.</w:t>
      </w:r>
    </w:p>
    <w:tbl>
      <w:tblPr>
        <w:tblOverlap w:val="never"/>
        <w:jc w:val="center"/>
        <w:tblLayout w:type="fixed"/>
      </w:tblPr>
      <w:tblGrid>
        <w:gridCol w:w="581"/>
        <w:gridCol w:w="6864"/>
      </w:tblGrid>
      <w:tr>
        <w:trPr>
          <w:trHeight w:val="288"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David Morens (18 janvier 2024)</w:t>
            </w:r>
          </w:p>
        </w:tc>
      </w:tr>
      <w:tr>
        <w:trPr>
          <w:trHeight w:val="1253"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ind w:left="240" w:right="0" w:firstLine="20"/>
              <w:jc w:val="left"/>
            </w:pPr>
            <w:r>
              <w:rPr>
                <w:rStyle w:val="CharStyle19"/>
              </w:rPr>
              <w:t xml:space="preserve">Avez-vous déjà supprimé quelque chose de votre compte officiel ou quelque chose de votre compte G-Mail qui pourrait être considéré comme un dossier officiel?</w:t>
            </w:r>
          </w:p>
        </w:tc>
      </w:tr>
      <w:tr>
        <w:trPr>
          <w:trHeight w:val="456" w:hRule="exact"/>
        </w:trPr>
        <w:tc>
          <w:tcPr>
            <w:tcBorders>
              <w:left w:val="single" w:sz="4"/>
              <w:bottom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240"/>
              <w:jc w:val="left"/>
            </w:pPr>
            <w:r>
              <w:rPr>
                <w:rStyle w:val="CharStyle19"/>
              </w:rPr>
              <w:t>Non.</w:t>
              <w:footnoteReference w:id="430"/>
            </w:r>
          </w:p>
        </w:tc>
      </w:tr>
    </w:tbl>
    <w:p>
      <w:pPr>
        <w:widowControl w:val="0"/>
        <w:spacing w:after="259" w:line="1" w:lineRule="exact"/>
      </w:pPr>
    </w:p>
    <w:p>
      <w:pPr>
        <w:pStyle w:val="Style24"/>
        <w:keepNext w:val="0"/>
        <w:keepLines w:val="0"/>
        <w:widowControl w:val="0"/>
        <w:shd w:val="clear" w:color="auto" w:fill="auto"/>
        <w:spacing w:before="0"/>
        <w:ind w:left="0" w:right="0" w:firstLine="740"/>
        <w:jc w:val="left"/>
      </w:pPr>
      <w:r>
        <w:rPr>
          <w:rStyle w:val="CharStyle25"/>
        </w:rPr>
        <w:t xml:space="preserve">Au cours de son entrevue transcrite, le personnel de Select Subcommittee a demandé au Dr Morens s'il avait déjà aidé le Dr Daszak ou EcoHealth dans leurs réponses aux efforts de surveillance des NIH. Il a répondu : « [N]o. » Les documents établissent qu’il s’agit d’une fausse déclaration.</w:t>
      </w:r>
    </w:p>
    <w:p>
      <w:pPr>
        <w:pStyle w:val="Style24"/>
        <w:keepNext w:val="0"/>
        <w:keepLines w:val="0"/>
        <w:widowControl w:val="0"/>
        <w:shd w:val="clear" w:color="auto" w:fill="auto"/>
        <w:spacing w:before="0"/>
        <w:ind w:left="0" w:right="0" w:firstLine="740"/>
        <w:jc w:val="left"/>
      </w:pPr>
      <w:r>
        <w:rPr>
          <w:rStyle w:val="CharStyle25"/>
          <w:u w:val="single"/>
        </w:rPr>
        <w:t xml:space="preserve">Dr David Morens (18 janvier 2024)</w:t>
      </w:r>
    </w:p>
    <w:p>
      <w:pPr>
        <w:pStyle w:val="Style24"/>
        <w:keepNext w:val="0"/>
        <w:keepLines w:val="0"/>
        <w:widowControl w:val="0"/>
        <w:shd w:val="clear" w:color="auto" w:fill="auto"/>
        <w:spacing w:before="0" w:line="264" w:lineRule="auto"/>
        <w:ind w:left="1460" w:right="0" w:hanging="720"/>
        <w:jc w:val="left"/>
      </w:pPr>
      <w:r>
        <w:rPr>
          <w:rStyle w:val="CharStyle25"/>
        </w:rPr>
        <w:t xml:space="preserve">Q. Avez-vous déjà participé à la rédaction de la correspondance que [Dr Daszak] a renvoyée [au NIH]?</w:t>
      </w:r>
    </w:p>
    <w:p>
      <w:pPr>
        <w:pStyle w:val="Style24"/>
        <w:keepNext w:val="0"/>
        <w:keepLines w:val="0"/>
        <w:widowControl w:val="0"/>
        <w:shd w:val="clear" w:color="auto" w:fill="auto"/>
        <w:spacing w:before="0"/>
        <w:ind w:left="0" w:right="0" w:firstLine="740"/>
        <w:jc w:val="left"/>
      </w:pPr>
      <w:r>
        <w:rPr>
          <w:rStyle w:val="CharStyle25"/>
        </w:rPr>
        <w:t xml:space="preserve">A. Non.</w:t>
        <w:footnoteReference w:id="431"/>
        <w:t>Non.</w:t>
      </w:r>
    </w:p>
    <w:p>
      <w:pPr>
        <w:pStyle w:val="Style24"/>
        <w:keepNext w:val="0"/>
        <w:keepLines w:val="0"/>
        <w:widowControl w:val="0"/>
        <w:shd w:val="clear" w:color="auto" w:fill="auto"/>
        <w:spacing w:before="0"/>
        <w:ind w:left="0" w:right="0" w:firstLine="740"/>
        <w:jc w:val="left"/>
      </w:pPr>
      <w:r>
        <w:rPr>
          <w:rStyle w:val="CharStyle25"/>
        </w:rPr>
        <w:t xml:space="preserve">Au cours de son entrevue transcrite, le personnel du Sous-comité spécial a demandé au Dr Morens s'il possédait ou utilisait d'autres comptes de courriel personnels autres que son compte Gmail. Il a répondu: «[l]e seul courriel que j’ai reçu était mon courriel du gouvernement et mon Gmail». Des documents établissent qu’il s’agit d’une fausse déclaration.</w:t>
      </w:r>
    </w:p>
    <w:tbl>
      <w:tblPr>
        <w:tblOverlap w:val="never"/>
        <w:jc w:val="center"/>
        <w:tblLayout w:type="fixed"/>
      </w:tblPr>
      <w:tblGrid>
        <w:gridCol w:w="586"/>
        <w:gridCol w:w="6859"/>
      </w:tblGrid>
      <w:tr>
        <w:trPr>
          <w:trHeight w:val="293" w:hRule="exact"/>
        </w:trPr>
        <w:tc>
          <w:tcPr>
            <w:gridSpan w:val="2"/>
            <w:tcBorders>
              <w:top w:val="single" w:sz="4"/>
              <w:left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 xml:space="preserve">Dr David Morens (18 janvier 2024)</w:t>
            </w:r>
          </w:p>
        </w:tc>
      </w:tr>
      <w:tr>
        <w:trPr>
          <w:trHeight w:val="994" w:hRule="exact"/>
        </w:trPr>
        <w:tc>
          <w:tcPr>
            <w:tcBorders>
              <w:top w:val="single" w:sz="4"/>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Q.</w:t>
            </w:r>
          </w:p>
        </w:tc>
        <w:tc>
          <w:tcPr>
            <w:tcBorders>
              <w:top w:val="single" w:sz="4"/>
              <w:right w:val="single" w:sz="4"/>
            </w:tcBorders>
            <w:shd w:val="clear" w:color="auto" w:fill="D9E9F8"/>
            <w:vAlign w:val="center"/>
          </w:tcPr>
          <w:p>
            <w:pPr>
              <w:pStyle w:val="Style18"/>
              <w:keepNext w:val="0"/>
              <w:keepLines w:val="0"/>
              <w:widowControl w:val="0"/>
              <w:shd w:val="clear" w:color="auto" w:fill="auto"/>
              <w:spacing w:before="0" w:after="0" w:line="259" w:lineRule="auto"/>
              <w:ind w:left="240" w:right="0" w:firstLine="0"/>
              <w:jc w:val="left"/>
            </w:pPr>
            <w:r>
              <w:rPr>
                <w:rStyle w:val="CharStyle19"/>
              </w:rPr>
              <w:t xml:space="preserve">Avez-vous d'autres comptes de messagerie personnels comme AOL de Yahoo? Gmail n’était pas toujours là.</w:t>
            </w:r>
          </w:p>
        </w:tc>
      </w:tr>
      <w:tr>
        <w:trPr>
          <w:trHeight w:val="557" w:hRule="exact"/>
        </w:trPr>
        <w:tc>
          <w:tcPr>
            <w:tcBorders>
              <w:lef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40" w:lineRule="auto"/>
              <w:ind w:left="0" w:right="0" w:firstLine="240"/>
              <w:jc w:val="left"/>
            </w:pPr>
            <w:r>
              <w:rPr>
                <w:rStyle w:val="CharStyle19"/>
              </w:rPr>
              <w:t xml:space="preserve">Est-ce que j'avais quelque chose avant Gmail?</w:t>
            </w:r>
          </w:p>
        </w:tc>
      </w:tr>
      <w:tr>
        <w:trPr>
          <w:trHeight w:val="835" w:hRule="exact"/>
        </w:trPr>
        <w:tc>
          <w:tcPr>
            <w:tcBorders>
              <w:left w:val="single" w:sz="4"/>
            </w:tcBorders>
            <w:shd w:val="clear" w:color="auto" w:fill="D9E9F8"/>
            <w:vAlign w:val="top"/>
          </w:tcPr>
          <w:p>
            <w:pPr>
              <w:pStyle w:val="Style18"/>
              <w:keepNext w:val="0"/>
              <w:keepLines w:val="0"/>
              <w:widowControl w:val="0"/>
              <w:shd w:val="clear" w:color="auto" w:fill="auto"/>
              <w:spacing w:before="120" w:after="0" w:line="240" w:lineRule="auto"/>
              <w:ind w:left="0" w:right="0" w:firstLine="0"/>
              <w:jc w:val="left"/>
            </w:pPr>
            <w:r>
              <w:rPr>
                <w:rStyle w:val="CharStyle19"/>
              </w:rPr>
              <w:t>Q.</w:t>
            </w:r>
          </w:p>
        </w:tc>
        <w:tc>
          <w:tcPr>
            <w:tcBorders>
              <w:right w:val="single" w:sz="4"/>
            </w:tcBorders>
            <w:shd w:val="clear" w:color="auto" w:fill="D9E9F8"/>
            <w:vAlign w:val="center"/>
          </w:tcPr>
          <w:p>
            <w:pPr>
              <w:pStyle w:val="Style18"/>
              <w:keepNext w:val="0"/>
              <w:keepLines w:val="0"/>
              <w:widowControl w:val="0"/>
              <w:shd w:val="clear" w:color="auto" w:fill="auto"/>
              <w:spacing w:before="0" w:after="0" w:line="264" w:lineRule="auto"/>
              <w:ind w:left="240" w:right="0" w:firstLine="0"/>
              <w:jc w:val="left"/>
            </w:pPr>
            <w:r>
              <w:rPr>
                <w:rStyle w:val="CharStyle19"/>
              </w:rPr>
              <w:t xml:space="preserve">Avant ou contemporain de Gmail. Quand vous dites adresses, parlez-vous spécifiquement du Gmail?</w:t>
            </w:r>
          </w:p>
        </w:tc>
      </w:tr>
      <w:tr>
        <w:trPr>
          <w:trHeight w:val="422" w:hRule="exact"/>
        </w:trPr>
        <w:tc>
          <w:tcPr>
            <w:tcBorders>
              <w:left w:val="single" w:sz="4"/>
              <w:bottom w:val="single" w:sz="4"/>
            </w:tcBorders>
            <w:shd w:val="clear" w:color="auto" w:fill="D9E9F8"/>
            <w:vAlign w:val="bottom"/>
          </w:tcPr>
          <w:p>
            <w:pPr>
              <w:pStyle w:val="Style18"/>
              <w:keepNext w:val="0"/>
              <w:keepLines w:val="0"/>
              <w:widowControl w:val="0"/>
              <w:shd w:val="clear" w:color="auto" w:fill="auto"/>
              <w:spacing w:before="0" w:after="0" w:line="240" w:lineRule="auto"/>
              <w:ind w:left="0" w:right="0" w:firstLine="0"/>
              <w:jc w:val="left"/>
            </w:pPr>
            <w:r>
              <w:rPr>
                <w:rStyle w:val="CharStyle19"/>
              </w:rPr>
              <w:t>A.</w:t>
            </w:r>
          </w:p>
        </w:tc>
        <w:tc>
          <w:tcPr>
            <w:tcBorders>
              <w:bottom w:val="single" w:sz="4"/>
              <w:right w:val="single" w:sz="4"/>
            </w:tcBorders>
            <w:shd w:val="clear" w:color="auto" w:fill="D9E9F8"/>
            <w:vAlign w:val="bottom"/>
          </w:tcPr>
          <w:p>
            <w:pPr>
              <w:pStyle w:val="Style18"/>
              <w:keepNext w:val="0"/>
              <w:keepLines w:val="0"/>
              <w:widowControl w:val="0"/>
              <w:shd w:val="clear" w:color="auto" w:fill="auto"/>
              <w:spacing w:before="0" w:after="0" w:line="240" w:lineRule="auto"/>
              <w:ind w:left="240" w:right="0" w:firstLine="0"/>
              <w:jc w:val="left"/>
            </w:pPr>
            <w:r>
              <w:rPr>
                <w:rStyle w:val="CharStyle19"/>
              </w:rPr>
              <w:t xml:space="preserve">Le seul e-mail que j'avais était mon e-mail gouvernemental et mon Gmail. </w:t>
              <w:footnoteReference w:id="432"/>
            </w:r>
          </w:p>
        </w:tc>
      </w:tr>
    </w:tbl>
    <w:p>
      <w:pPr>
        <w:widowControl w:val="0"/>
        <w:spacing w:after="259" w:line="1" w:lineRule="exact"/>
      </w:pPr>
    </w:p>
    <w:p>
      <w:pPr>
        <w:pStyle w:val="Style24"/>
        <w:keepNext w:val="0"/>
        <w:keepLines w:val="0"/>
        <w:widowControl w:val="0"/>
        <w:shd w:val="clear" w:color="auto" w:fill="auto"/>
        <w:spacing w:before="0"/>
        <w:ind w:left="0" w:right="0" w:firstLine="740"/>
        <w:jc w:val="left"/>
        <w:sectPr>
          <w:footerReference w:type="default" r:id="rId119"/>
          <w:footnotePr>
            <w:pos w:val="pageBottom"/>
            <w:numFmt w:val="decimal"/>
            <w:numStart w:val="1455"/>
            <w:numRestart w:val="continuous"/>
            <w15:footnoteColumns w:val="1"/>
          </w:footnotePr>
          <w:pgSz w:w="12485" w:h="16357"/>
          <w:pgMar w:top="1706" w:right="1589" w:bottom="1501" w:left="1487" w:header="1278" w:footer="3" w:gutter="0"/>
          <w:pgNumType w:start="501"/>
          <w:cols w:space="720"/>
          <w:noEndnote/>
          <w:rtlGutter w:val="0"/>
          <w:docGrid w:linePitch="360"/>
        </w:sectPr>
      </w:pPr>
      <w:r>
        <w:rPr>
          <w:rStyle w:val="CharStyle25"/>
        </w:rPr>
        <w:t xml:space="preserve">Avant l'audience publique du Dr Morens du 22 mai 2024, le sous-comité restreint avait l'impression qu'il prévoyait d'invoquer son droit au cinquième amendement contre l'auto-incrimination et de refuser de témoigner. Quelques heures avant l'audience, le Dr Morens a décidé de témoigner. Le 23 mai 2024, le Dr Morens a déploré à M. Daszak: «Quelle que soit l’erreur que j’ai commise et quelle que soit la faiblesse de mon jugement et de ma compréhension des choses à faire et à ne pas faire, j’essayais de faire ce qu’il fallait.</w:t>
      </w:r>
    </w:p>
    <w:p>
      <w:pPr>
        <w:pStyle w:val="Style24"/>
        <w:keepNext w:val="0"/>
        <w:keepLines w:val="0"/>
        <w:widowControl w:val="0"/>
        <w:shd w:val="clear" w:color="auto" w:fill="auto"/>
        <w:spacing w:before="0" w:after="0" w:line="211" w:lineRule="auto"/>
        <w:ind w:left="0" w:right="0" w:firstLine="0"/>
        <w:jc w:val="left"/>
      </w:pPr>
      <w:r>
        <w:rPr>
          <w:rStyle w:val="CharStyle25"/>
        </w:rPr>
        <w:t xml:space="preserve">vous aider. L'une des raisons pour lesquelles j'ai fait ce qui s'est avéré être un très mauvais choix est de ne pas prendre [sic] le</w:t>
      </w:r>
    </w:p>
    <w:p>
      <w:pPr>
        <w:pStyle w:val="Style57"/>
        <w:keepNext w:val="0"/>
        <w:keepLines w:val="0"/>
        <w:widowControl w:val="0"/>
        <w:shd w:val="clear" w:color="auto" w:fill="auto"/>
        <w:spacing w:before="0" w:after="0" w:line="211" w:lineRule="auto"/>
        <w:ind w:left="0" w:right="0" w:firstLine="0"/>
        <w:jc w:val="left"/>
      </w:pPr>
      <w:r>
        <w:rPr>
          <w:rStyle w:val="CharStyle58"/>
          <w:rFonts w:ascii="Times New Roman" w:hAnsi="Times New Roman" w:cs="Times New Roman" w:eastAsia="Times New Roman"/>
          <w:color w:val="000000"/>
          <w:sz w:val="16"/>
          <w:vertAlign w:val="subscript"/>
        </w:rPr>
        <w:t>5</w:t>
      </w:r>
      <w:r>
        <w:rPr>
          <w:rStyle w:val="CharStyle58"/>
          <w:color w:val="000000"/>
        </w:rPr>
        <w:t>ème</w:t>
      </w:r>
      <w:r>
        <w:rPr>
          <w:rStyle w:val="CharStyle58"/>
          <w:rFonts w:ascii="Times New Roman" w:hAnsi="Times New Roman" w:cs="Times New Roman" w:eastAsia="Times New Roman"/>
          <w:color w:val="000000"/>
          <w:sz w:val="16"/>
          <w:vertAlign w:val="subscript"/>
        </w:rPr>
        <w:t>..."</w:t>
      </w:r>
      <w:r>
        <w:rPr>
          <w:rStyle w:val="CharStyle58"/>
          <w:color w:val="000000"/>
        </w:rPr>
        <w:t>1886</w:t>
      </w:r>
    </w:p>
    <w:p>
      <w:pPr>
        <w:widowControl w:val="0"/>
        <w:spacing w:line="1" w:lineRule="exact"/>
        <w:sectPr>
          <w:footnotePr>
            <w:pos w:val="pageBottom"/>
            <w:numFmt w:val="decimal"/>
            <w:numStart w:val="1455"/>
            <w:numRestart w:val="continuous"/>
            <w15:footnoteColumns w:val="1"/>
          </w:footnotePr>
          <w:pgSz w:w="12485" w:h="16357"/>
          <w:pgMar w:top="1708" w:right="1558" w:bottom="1498" w:left="1534" w:header="1280" w:footer="3" w:gutter="0"/>
          <w:cols w:space="720"/>
          <w:noEndnote/>
          <w:rtlGutter w:val="0"/>
          <w:docGrid w:linePitch="360"/>
        </w:sectPr>
      </w:pPr>
      <w:r>
        <w:drawing>
          <wp:anchor distT="241300" distB="0" distL="0" distR="0" simplePos="0" relativeHeight="125829473" behindDoc="0" locked="0" layoutInCell="1" allowOverlap="1">
            <wp:simplePos x="0" y="0"/>
            <wp:positionH relativeFrom="page">
              <wp:posOffset>1147445</wp:posOffset>
            </wp:positionH>
            <wp:positionV relativeFrom="paragraph">
              <wp:posOffset>241300</wp:posOffset>
            </wp:positionV>
            <wp:extent cx="2346960" cy="511810"/>
            <wp:wrapTopAndBottom/>
            <wp:docPr id="226" name="Forme 226"/>
            <a:graphic xmlns:a="http://schemas.openxmlformats.org/drawingml/2006/main">
              <a:graphicData uri="http://schemas.openxmlformats.org/drawingml/2006/picture">
                <pic:pic xmlns:pic="http://schemas.openxmlformats.org/drawingml/2006/picture">
                  <pic:nvPicPr>
                    <pic:cNvPr id="227" name="Boîte à images 227"/>
                    <pic:cNvPicPr/>
                  </pic:nvPicPr>
                  <pic:blipFill>
                    <a:blip r:embed="rId120"/>
                    <a:stretch/>
                  </pic:blipFill>
                  <pic:spPr>
                    <a:xfrm>
                      <a:ext cx="2346960" cy="511810"/>
                    </a:xfrm>
                    <a:prstGeom prst="rect"/>
                  </pic:spPr>
                </pic:pic>
              </a:graphicData>
            </a:graphic>
          </wp:anchor>
        </w:drawing>
      </w:r>
      <w:r>
        <w:drawing>
          <wp:anchor distT="518795" distB="3175" distL="716280" distR="0" simplePos="0" relativeHeight="125829474" behindDoc="0" locked="0" layoutInCell="1" allowOverlap="1">
            <wp:simplePos x="0" y="0"/>
            <wp:positionH relativeFrom="page">
              <wp:posOffset>4232275</wp:posOffset>
            </wp:positionH>
            <wp:positionV relativeFrom="paragraph">
              <wp:posOffset>518795</wp:posOffset>
            </wp:positionV>
            <wp:extent cx="932815" cy="231775"/>
            <wp:wrapTopAndBottom/>
            <wp:docPr id="228" name="Forme 228"/>
            <a:graphic xmlns:a="http://schemas.openxmlformats.org/drawingml/2006/main">
              <a:graphicData uri="http://schemas.openxmlformats.org/drawingml/2006/picture">
                <pic:pic xmlns:pic="http://schemas.openxmlformats.org/drawingml/2006/picture">
                  <pic:nvPicPr>
                    <pic:cNvPr id="229" name="Boîte à images 229"/>
                    <pic:cNvPicPr/>
                  </pic:nvPicPr>
                  <pic:blipFill>
                    <a:blip r:embed="rId122"/>
                    <a:stretch/>
                  </pic:blipFill>
                  <pic:spPr>
                    <a:xfrm>
                      <a:ext cx="932815" cy="231775"/>
                    </a:xfrm>
                    <a:prstGeom prst="rect"/>
                  </pic:spPr>
                </pic:pic>
              </a:graphicData>
            </a:graphic>
          </wp:anchor>
        </w:drawing>
      </w:r>
      <w:r>
        <mc:AlternateContent>
          <mc:Choice Requires="wps">
            <w:drawing>
              <wp:anchor distT="0" distB="0" distL="0" distR="0" simplePos="0" relativeHeight="503316524" behindDoc="0" locked="0" layoutInCell="1" allowOverlap="1">
                <wp:simplePos x="0" y="0"/>
                <wp:positionH relativeFrom="page">
                  <wp:posOffset>3515995</wp:posOffset>
                </wp:positionH>
                <wp:positionV relativeFrom="paragraph">
                  <wp:posOffset>549275</wp:posOffset>
                </wp:positionV>
                <wp:extent cx="713105" cy="130810"/>
                <wp:wrapNone/>
                <wp:docPr id="230" name="Forme 230"/>
                <a:graphic xmlns:a="http://schemas.openxmlformats.org/drawingml/2006/main">
                  <a:graphicData uri="http://schemas.microsoft.com/office/word/2010/wordprocessingShape">
                    <wps:wsp>
                      <wps:cNvSpPr txBox="1"/>
                      <wps:spPr>
                        <a:xfrm>
                          <a:ext cx="713105" cy="130810"/>
                        </a:xfrm>
                        <a:prstGeom prst="rect"/>
                        <a:noFill/>
                      </wps:spPr>
                      <wps:txbx>
                        <w:txbxContent>
                          <w:p>
                            <w:pPr>
                              <w:pStyle w:val="Style27"/>
                              <w:keepNext w:val="0"/>
                              <w:keepLines w:val="0"/>
                              <w:widowControl w:val="0"/>
                              <w:shd w:val="clear" w:color="auto" w:fill="auto"/>
                              <w:spacing w:before="0" w:after="0" w:line="240" w:lineRule="auto"/>
                              <w:ind w:left="0" w:right="0" w:firstLine="0"/>
                              <w:jc w:val="right"/>
                              <w:rPr>
                                <w:sz w:val="14"/>
                              </w:rPr>
                            </w:pPr>
                            <w:r>
                              <w:rPr>
                                <w:rStyle w:val="CharStyle28"/>
                                <w:color w:val="464648"/>
                                <w:sz w:val="14"/>
                              </w:rPr>
                              <w:t xml:space="preserve">Gerald de Keusch</w:t>
                            </w:r>
                          </w:p>
                        </w:txbxContent>
                      </wps:txbx>
                      <wps:bodyPr lIns="0" tIns="0" rIns="0" bIns="0">
                        <a:noAutoFit/>
                      </wps:bodyPr>
                    </wps:wsp>
                  </a:graphicData>
                </a:graphic>
              </wp:anchor>
            </w:drawing>
          </mc:Choice>
        </mc:AlternateContent>
      </w:r>
    </w:p>
    <w:p>
      <w:pPr>
        <w:widowControl w:val="0"/>
        <w:spacing w:line="240" w:lineRule="exact"/>
        <w:rPr>
          <w:sz w:val="19"/>
        </w:rPr>
      </w:pPr>
    </w:p>
    <w:p>
      <w:pPr>
        <w:widowControl w:val="0"/>
        <w:spacing w:before="53" w:after="53" w:line="240" w:lineRule="exact"/>
        <w:rPr>
          <w:sz w:val="19"/>
        </w:rPr>
      </w:pPr>
    </w:p>
    <w:p>
      <w:pPr>
        <w:widowControl w:val="0"/>
        <w:spacing w:line="1" w:lineRule="exact"/>
        <w:sectPr>
          <w:footnotePr>
            <w:pos w:val="pageBottom"/>
            <w:numFmt w:val="decimal"/>
            <w:numStart w:val="1455"/>
            <w:numRestart w:val="continuous"/>
            <w15:footnoteColumns w:val="1"/>
          </w:footnotePr>
          <w:type w:val="continuous"/>
          <w:pgSz w:w="12485" w:h="16357"/>
          <w:pgMar w:top="1710" w:right="0" w:bottom="1478" w:left="0" w:header="0" w:footer="3" w:gutter="0"/>
          <w:cols w:space="720"/>
          <w:noEndnote/>
          <w:rtlGutter w:val="0"/>
          <w:docGrid w:linePitch="360"/>
        </w:sectPr>
      </w:pPr>
    </w:p>
    <w:p>
      <w:pPr>
        <w:pStyle w:val="Style57"/>
        <w:keepNext w:val="0"/>
        <w:keepLines w:val="0"/>
        <w:widowControl w:val="0"/>
        <w:shd w:val="clear" w:color="auto" w:fill="auto"/>
        <w:tabs>
          <w:tab w:pos="8150" w:val="left"/>
        </w:tabs>
        <w:spacing w:before="0" w:after="58" w:line="331" w:lineRule="auto"/>
        <w:ind w:left="0" w:right="0" w:firstLine="0"/>
        <w:jc w:val="left"/>
        <w:rPr>
          <w:sz w:val="15"/>
        </w:rPr>
      </w:pPr>
      <w:r>
        <w:rPr>
          <w:rStyle w:val="CharStyle58"/>
          <w:color w:val="464648"/>
          <w:sz w:val="15"/>
          <w:vertAlign w:val="superscript"/>
        </w:rPr>
        <w:t>:</w:t>
      </w:r>
      <w:r>
        <w:rPr>
          <w:rStyle w:val="CharStyle58"/>
          <w:color w:val="464648"/>
          <w:sz w:val="15"/>
        </w:rPr>
        <w:t xml:space="preserve">Demande de traitement confidentiel de l'OIA</w:t>
        <w:tab/>
        <w:t xml:space="preserve">JLS 00027930</w:t>
      </w:r>
    </w:p>
    <w:p>
      <w:pPr>
        <w:pStyle w:val="Style36"/>
        <w:keepNext w:val="0"/>
        <w:keepLines w:val="0"/>
        <w:widowControl w:val="0"/>
        <w:pBdr>
          <w:top w:val="single" w:sz="0" w:space="3" w:color="000000"/>
          <w:left w:val="single" w:sz="0" w:space="0" w:color="000000"/>
          <w:bottom w:val="single" w:sz="0" w:space="3" w:color="000000"/>
          <w:right w:val="single" w:sz="0" w:space="0" w:color="000000"/>
        </w:pBdr>
        <w:shd w:val="clear" w:color="auto" w:fill="000000"/>
        <w:tabs>
          <w:tab w:pos="4292" w:val="left"/>
        </w:tabs>
        <w:spacing w:before="0" w:after="0" w:line="312" w:lineRule="auto"/>
        <w:ind w:left="0" w:right="0" w:firstLine="140"/>
        <w:jc w:val="left"/>
      </w:pPr>
      <w:r>
        <w:rPr>
          <w:rStyle w:val="CharStyle37"/>
          <w:color w:val="464648"/>
        </w:rPr>
        <w:t xml:space="preserve">Cc : Aleksei Chmura</w:t>
        <w:tab/>
        <w:t xml:space="preserve">Jeff Sturchio</w:t>
      </w:r>
    </w:p>
    <w:p>
      <w:pPr>
        <w:pStyle w:val="Style36"/>
        <w:keepNext w:val="0"/>
        <w:keepLines w:val="0"/>
        <w:widowControl w:val="0"/>
        <w:shd w:val="clear" w:color="auto" w:fill="auto"/>
        <w:spacing w:before="0" w:after="260" w:line="331" w:lineRule="auto"/>
        <w:ind w:left="0" w:right="0" w:firstLine="140"/>
        <w:jc w:val="left"/>
        <w:rPr>
          <w:sz w:val="15"/>
        </w:rPr>
      </w:pPr>
      <w:r>
        <w:rPr>
          <w:rStyle w:val="CharStyle37"/>
          <w:color w:val="464648"/>
          <w:sz w:val="15"/>
        </w:rPr>
        <w:t xml:space="preserve">Objet: En ce qui concerne: Vérification des faits concernant </w:t>
      </w:r>
      <w:r>
        <w:rPr>
          <w:rStyle w:val="CharStyle37"/>
          <w:sz w:val="15"/>
        </w:rPr>
        <w:t xml:space="preserve"> </w:t>
      </w:r>
      <w:r>
        <w:rPr>
          <w:rStyle w:val="CharStyle37"/>
          <w:color w:val="464648"/>
          <w:sz w:val="15"/>
        </w:rPr>
        <w:t xml:space="preserve">nos courriels qui ont été cités lors de l'audience publique d'aujourd'hui </w:t>
      </w:r>
    </w:p>
    <w:p>
      <w:pPr>
        <w:pStyle w:val="Style36"/>
        <w:keepNext w:val="0"/>
        <w:keepLines w:val="0"/>
        <w:widowControl w:val="0"/>
        <w:shd w:val="clear" w:color="auto" w:fill="auto"/>
        <w:spacing w:before="0" w:after="80" w:line="295" w:lineRule="auto"/>
        <w:ind w:left="140" w:right="0" w:firstLine="20"/>
        <w:jc w:val="left"/>
        <w:rPr>
          <w:sz w:val="17"/>
        </w:rPr>
      </w:pPr>
      <w:r>
        <w:rPr>
          <w:rStyle w:val="CharStyle37"/>
          <w:color w:val="464648"/>
          <w:sz w:val="17"/>
        </w:rPr>
        <w:t xml:space="preserve">Peter, merci d'avoir examiné cela, car c'était l'une des accusations les plus indéfendables contre moi, et quand on m'a dit que je vous avais aidé à écrire cette lettre, 1 leur a dit que je ne me souvenais pas de l'avoir fait et que si 1 l'avait fait, j'avais tort, comme vous l'avez vu si vous aviez regardé le spectacle hier.</w:t>
      </w:r>
    </w:p>
    <w:p>
      <w:pPr>
        <w:pStyle w:val="Style36"/>
        <w:keepNext w:val="0"/>
        <w:keepLines w:val="0"/>
        <w:widowControl w:val="0"/>
        <w:shd w:val="clear" w:color="auto" w:fill="auto"/>
        <w:spacing w:before="0" w:after="80" w:line="288" w:lineRule="auto"/>
        <w:ind w:left="140" w:right="0" w:firstLine="20"/>
        <w:jc w:val="left"/>
        <w:rPr>
          <w:sz w:val="17"/>
        </w:rPr>
      </w:pPr>
      <w:r>
        <w:rPr>
          <w:rStyle w:val="CharStyle37"/>
          <w:color w:val="464648"/>
          <w:sz w:val="17"/>
        </w:rPr>
        <w:t xml:space="preserve">La découverte de cet article n'aura aucun impact sur l'effacement de </w:t>
      </w:r>
      <w:r>
        <w:rPr>
          <w:rStyle w:val="CharStyle37"/>
          <w:sz w:val="17"/>
        </w:rPr>
        <w:t xml:space="preserve">mon </w:t>
      </w:r>
      <w:r>
        <w:rPr>
          <w:rStyle w:val="CharStyle37"/>
          <w:color w:val="464648"/>
          <w:sz w:val="17"/>
        </w:rPr>
        <w:t xml:space="preserve">nom, mais comme je suis vraiment déprimé ce matin, cela me réconforte un peu. Merci d'être </w:t>
      </w:r>
      <w:r>
        <w:rPr>
          <w:rStyle w:val="CharStyle37"/>
          <w:sz w:val="17"/>
        </w:rPr>
        <w:t xml:space="preserve">un </w:t>
      </w:r>
      <w:r>
        <w:rPr>
          <w:rStyle w:val="CharStyle37"/>
          <w:color w:val="464648"/>
          <w:sz w:val="17"/>
        </w:rPr>
        <w:t xml:space="preserve">véritable ami et d'avoir pris la rime pour me remonter le moral au milieu de vos problèmes bien pires</w:t>
      </w:r>
    </w:p>
    <w:p>
      <w:pPr>
        <w:pStyle w:val="Style36"/>
        <w:keepNext w:val="0"/>
        <w:keepLines w:val="0"/>
        <w:widowControl w:val="0"/>
        <w:shd w:val="clear" w:color="auto" w:fill="auto"/>
        <w:spacing w:before="0" w:after="80" w:line="288" w:lineRule="auto"/>
        <w:ind w:left="140" w:right="0" w:firstLine="20"/>
        <w:jc w:val="left"/>
        <w:rPr>
          <w:sz w:val="17"/>
        </w:rPr>
      </w:pPr>
      <w:r>
        <w:rPr>
          <w:rStyle w:val="CharStyle37"/>
          <w:color w:val="464648"/>
          <w:sz w:val="17"/>
        </w:rPr>
        <w:t xml:space="preserve">Quelles que soient les erreurs que j'ai faites, et aussi pauvres que soient mon jugement et ma compréhension des choses à faire et à ne pas faire, j'essayais </w:t>
      </w:r>
      <w:r>
        <w:rPr>
          <w:rStyle w:val="CharStyle37"/>
          <w:sz w:val="17"/>
        </w:rPr>
        <w:t xml:space="preserve">de </w:t>
      </w:r>
      <w:r>
        <w:rPr>
          <w:rStyle w:val="CharStyle37"/>
          <w:color w:val="464648"/>
          <w:sz w:val="17"/>
        </w:rPr>
        <w:t xml:space="preserve">faire la bonne chose pour vous aider. L'une des raisons pour lesquelles j'ai fait ce qui s'est avéré être un très mauvais choix de ne pas prendre le 5ème, était que je pouvais repousser les accusations basées sur des interprétations incorrectes, je suis sûr qu'il y a beaucoup d'autres éléments comme celui-ci. Je sais que vous savez qu'à de nombreuses reprises, je vous ai expliqué toutes les nombreuses choses que je ne pouvais pas faire pour vous aider directement, et aussi les choses que je pouvais faire. Mais 1 n'aura jamais l'occasion de les corriger ou de les expliquer.</w:t>
      </w:r>
    </w:p>
    <w:p>
      <w:pPr>
        <w:pStyle w:val="Style36"/>
        <w:keepNext w:val="0"/>
        <w:keepLines w:val="0"/>
        <w:widowControl w:val="0"/>
        <w:shd w:val="clear" w:color="auto" w:fill="auto"/>
        <w:spacing w:before="0" w:after="80" w:line="293" w:lineRule="auto"/>
        <w:ind w:left="140" w:right="0" w:firstLine="20"/>
        <w:jc w:val="left"/>
        <w:rPr>
          <w:sz w:val="17"/>
        </w:rPr>
      </w:pPr>
      <w:r>
        <w:rPr>
          <w:rStyle w:val="CharStyle37"/>
          <w:color w:val="464648"/>
          <w:sz w:val="17"/>
        </w:rPr>
        <w:t xml:space="preserve">Ma pire erreur a été d'écrire des courriels plaisants qui seront utilisés contre Tony. J’aimerais pouvoir faire quelque chose pour l’aider à ce stade, mais ce n’est pas le cas. J’espère que le préjudice qu’il </w:t>
      </w:r>
      <w:r>
        <w:rPr>
          <w:rStyle w:val="CharStyle37"/>
          <w:sz w:val="17"/>
        </w:rPr>
        <w:t xml:space="preserve"> </w:t>
      </w:r>
      <w:r>
        <w:rPr>
          <w:rStyle w:val="CharStyle37"/>
          <w:color w:val="464648"/>
          <w:sz w:val="17"/>
        </w:rPr>
        <w:t xml:space="preserve">subira sera minime. Ma folie a fait du mal à au moins deux personnes que je considère comme innocentes, ce qui est en fait pire que de perdre mon emploi et de faire face à des poursuites.</w:t>
      </w:r>
    </w:p>
    <w:p>
      <w:pPr>
        <w:pStyle w:val="Style36"/>
        <w:keepNext w:val="0"/>
        <w:keepLines w:val="0"/>
        <w:widowControl w:val="0"/>
        <w:shd w:val="clear" w:color="auto" w:fill="auto"/>
        <w:spacing w:before="0" w:after="80" w:line="295" w:lineRule="auto"/>
        <w:ind w:left="140" w:right="0" w:firstLine="20"/>
        <w:jc w:val="left"/>
        <w:rPr>
          <w:sz w:val="17"/>
        </w:rPr>
      </w:pPr>
      <w:r>
        <w:rPr>
          <w:rStyle w:val="CharStyle37"/>
          <w:color w:val="464648"/>
          <w:sz w:val="17"/>
        </w:rPr>
        <w:t xml:space="preserve">Mais une fois que j'ai pris ma retraite. Je serai en mesure de faire tout ce que </w:t>
      </w:r>
      <w:r>
        <w:rPr>
          <w:rStyle w:val="CharStyle37"/>
          <w:sz w:val="17"/>
        </w:rPr>
        <w:t xml:space="preserve">je </w:t>
      </w:r>
      <w:r>
        <w:rPr>
          <w:rStyle w:val="CharStyle37"/>
          <w:color w:val="464648"/>
          <w:sz w:val="17"/>
        </w:rPr>
        <w:t xml:space="preserve">peux </w:t>
      </w:r>
      <w:r>
        <w:rPr>
          <w:rStyle w:val="CharStyle37"/>
          <w:sz w:val="17"/>
        </w:rPr>
        <w:t xml:space="preserve">pour </w:t>
      </w:r>
      <w:r>
        <w:rPr>
          <w:rStyle w:val="CharStyle37"/>
          <w:color w:val="464648"/>
          <w:sz w:val="17"/>
        </w:rPr>
        <w:t xml:space="preserve">aider des amis comme vous et pour défendre la science. Et, étant moi-même historien, </w:t>
      </w:r>
      <w:r>
        <w:rPr>
          <w:rStyle w:val="CharStyle37"/>
          <w:sz w:val="17"/>
        </w:rPr>
        <w:t xml:space="preserve">je </w:t>
      </w:r>
      <w:r>
        <w:rPr>
          <w:rStyle w:val="CharStyle37"/>
          <w:color w:val="464648"/>
          <w:sz w:val="17"/>
        </w:rPr>
        <w:t xml:space="preserve">m'attends pleinement à ce que nous soyons tous finalement substantiellement, sinon complètement justifiés.</w:t>
      </w:r>
    </w:p>
    <w:p>
      <w:pPr>
        <w:pStyle w:val="Style36"/>
        <w:keepNext w:val="0"/>
        <w:keepLines w:val="0"/>
        <w:widowControl w:val="0"/>
        <w:shd w:val="clear" w:color="auto" w:fill="auto"/>
        <w:spacing w:before="0" w:after="0" w:line="295" w:lineRule="auto"/>
        <w:ind w:left="140" w:right="0" w:firstLine="20"/>
        <w:jc w:val="left"/>
        <w:rPr>
          <w:sz w:val="17"/>
        </w:rPr>
      </w:pPr>
      <w:r>
        <w:rPr>
          <w:rStyle w:val="CharStyle37"/>
          <w:color w:val="464648"/>
          <w:sz w:val="17"/>
        </w:rPr>
        <w:t xml:space="preserve">En attendant, accrochez-vous et </w:t>
      </w:r>
      <w:r>
        <w:rPr>
          <w:rStyle w:val="CharStyle37"/>
          <w:sz w:val="17"/>
        </w:rPr>
        <w:t xml:space="preserve">cherchez </w:t>
      </w:r>
      <w:r>
        <w:rPr>
          <w:rStyle w:val="CharStyle37"/>
          <w:color w:val="464648"/>
          <w:sz w:val="17"/>
        </w:rPr>
        <w:t xml:space="preserve">de la lumière au bout du tunnel. Aussi, s'il vous plaît donner de mon mieux </w:t>
      </w:r>
      <w:r>
        <w:rPr>
          <w:rStyle w:val="CharStyle37"/>
          <w:sz w:val="17"/>
        </w:rPr>
        <w:t xml:space="preserve">à </w:t>
      </w:r>
      <w:r>
        <w:rPr>
          <w:rStyle w:val="CharStyle37"/>
          <w:color w:val="464648"/>
          <w:sz w:val="17"/>
        </w:rPr>
        <w:t xml:space="preserve">beaucoup de personnes fines et honorables qui travaillent avec vous à l'EHA, et en particulier Billy, Jon et Kevin d</w:t>
      </w:r>
    </w:p>
    <w:p>
      <w:pPr>
        <w:pStyle w:val="Style36"/>
        <w:keepNext w:val="0"/>
        <w:keepLines w:val="0"/>
        <w:widowControl w:val="0"/>
        <w:shd w:val="clear" w:color="auto" w:fill="auto"/>
        <w:spacing w:before="0" w:after="3000" w:line="295" w:lineRule="auto"/>
        <w:ind w:left="0" w:right="0" w:firstLine="140"/>
        <w:jc w:val="left"/>
        <w:rPr>
          <w:sz w:val="17"/>
        </w:rPr>
      </w:pPr>
      <w:r>
        <w:rPr>
          <w:rStyle w:val="CharStyle37"/>
          <w:color w:val="464648"/>
          <w:sz w:val="17"/>
        </w:rPr>
        <w:t xml:space="preserve">Envoyé par Proton Mail Android</w:t>
      </w:r>
    </w:p>
    <w:p>
      <w:pPr>
        <w:pStyle w:val="Style24"/>
        <w:keepNext w:val="0"/>
        <w:keepLines w:val="0"/>
        <w:widowControl w:val="0"/>
        <w:shd w:val="clear" w:color="auto" w:fill="auto"/>
        <w:spacing w:before="0" w:after="80" w:line="240" w:lineRule="auto"/>
        <w:ind w:left="0" w:right="0" w:firstLine="0"/>
        <w:jc w:val="left"/>
        <w:rPr>
          <w:sz w:val="20"/>
        </w:rPr>
      </w:pPr>
      <w:r>
        <w:rPr>
          <w:rStyle w:val="CharStyle25"/>
          <w:sz w:val="20"/>
          <w:vertAlign w:val="superscript"/>
        </w:rPr>
        <w:t>1886</w:t>
      </w:r>
      <w:r>
        <w:rPr>
          <w:rStyle w:val="CharStyle25"/>
          <w:sz w:val="20"/>
        </w:rPr>
        <w:t xml:space="preserve"> Courriel de David Morens, M.D., conseiller principal, Nat’l Inst. of Allergy &amp; Infectious Diseases, Nat’l Insts. of Health, à Peter Daszak, Ph.D., EcoHealth Alliance, Inc., et al. (23 mai 2024, 8h12).</w:t>
      </w:r>
    </w:p>
    <w:p>
      <w:pPr>
        <w:pStyle w:val="Style24"/>
        <w:keepNext w:val="0"/>
        <w:keepLines w:val="0"/>
        <w:widowControl w:val="0"/>
        <w:shd w:val="clear" w:color="auto" w:fill="auto"/>
        <w:spacing w:before="0" w:after="240" w:line="264" w:lineRule="auto"/>
        <w:ind w:left="740" w:right="0" w:hanging="740"/>
        <w:jc w:val="left"/>
      </w:pPr>
      <w:r>
        <w:rPr>
          <w:rStyle w:val="CharStyle25"/>
          <w:color w:val="303030"/>
        </w:rPr>
        <w:t xml:space="preserve">IV. L’administration de la gouverneure de</w:t>
      </w:r>
      <w:r>
        <w:rPr>
          <w:rStyle w:val="CharStyle25"/>
        </w:rPr>
        <w:t xml:space="preserve">New York, Kathy Hochul, a retenu des documents clés du sous-comité restreint sur la base d’un prétendu privilège</w:t>
      </w:r>
    </w:p>
    <w:p>
      <w:pPr>
        <w:pStyle w:val="Style24"/>
        <w:keepNext w:val="0"/>
        <w:keepLines w:val="0"/>
        <w:widowControl w:val="0"/>
        <w:shd w:val="clear" w:color="auto" w:fill="auto"/>
        <w:spacing w:before="0" w:after="240"/>
        <w:ind w:left="0" w:right="0" w:firstLine="740"/>
        <w:jc w:val="left"/>
      </w:pPr>
      <w:r>
        <w:rPr>
          <w:rStyle w:val="CharStyle25"/>
        </w:rPr>
        <w:t xml:space="preserve">Comme nous l'avons déjà mentionné dans le présent rapport, l'âge et les comorbidités étaient le facteur de risque le plus important pour prédire l'hospitalisation et le décès dus à la COVID-19. Ce fait était connu par le gouverneur de l'État de New York de l'époque, Andrew Cuomo, dans les premiers jours de la pandémie. Bien que connaissant la menace que la COVID-19 représentait pour les personnes âgées, l'administration Cuomo a publié la directive du 25 mars qui ordonnait que les résidents des maisons de soins infirmiers potentiellement positifs à la COVID-19 soient admis ou réadmis</w:t>
        <w:softHyphen/>
        <w:t xml:space="preserve">dans une maison de soins infirmiers et interdisait les tests.</w:t>
        <w:footnoteReference w:id="433"/>
        <w:t xml:space="preserve"> L'administration Cuomo a cherché à dissimuler l'impact de la directive du 25 mars en modifiant continuellement la méthodologie de comptage des décès dans les maisons de soins infirmiers et en affirmant à plusieurs reprises que la directive du 25 mars suivait les directives fédérales - des Centers for Medicare and Medicaid Services (CMS) et des Centers for Disease Control and Prevention (CDC) des États-Unis - concernant la protection des résidents dans les maisons de soins infirmiers et autres établissements de soins de longue durée.</w:t>
        <w:footnoteReference w:id="434"/>
      </w:r>
    </w:p>
    <w:p>
      <w:pPr>
        <w:pStyle w:val="Style24"/>
        <w:keepNext w:val="0"/>
        <w:keepLines w:val="0"/>
        <w:widowControl w:val="0"/>
        <w:shd w:val="clear" w:color="auto" w:fill="auto"/>
        <w:spacing w:before="0" w:after="240"/>
        <w:ind w:left="0" w:right="0" w:firstLine="740"/>
        <w:jc w:val="left"/>
      </w:pPr>
      <w:r>
        <w:rPr>
          <w:rStyle w:val="CharStyle25"/>
        </w:rPr>
        <w:t xml:space="preserve">Au cours des 117e</w:t>
      </w:r>
      <w:r>
        <w:rPr>
          <w:rStyle w:val="CharStyle25"/>
        </w:rPr>
        <w:t xml:space="preserve"> et 118e</w:t>
      </w:r>
      <w:r>
        <w:rPr>
          <w:rStyle w:val="CharStyle25"/>
        </w:rPr>
        <w:t xml:space="preserve"> congrès, le prédécesseur du sous-comité restreint a envoyé de nombreuses lettres de demande de documents à l’administration Cuomo et a même invité M. Cuomo à témoigner. Tous ces éléments ont été ignorés. Selon les documents obtenus par le Sous-comité restreint et la position actuelle de M. Cuomo et de ses alliés, ils estiment que cette enquête est illégitime.</w:t>
        <w:footnoteReference w:id="435"/>
      </w:r>
    </w:p>
    <w:p>
      <w:pPr>
        <w:widowControl w:val="0"/>
        <w:jc w:val="center"/>
        <w:rPr>
          <w:sz w:val="2"/>
        </w:rPr>
      </w:pPr>
      <w:r>
        <w:drawing>
          <wp:inline>
            <wp:extent cx="4364990" cy="341630"/>
            <wp:docPr id="232" name="Picutre 232"/>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24"/>
                    <a:stretch/>
                  </pic:blipFill>
                  <pic:spPr>
                    <a:xfrm>
                      <a:ext cx="4364990" cy="341630"/>
                    </a:xfrm>
                    <a:prstGeom prst="rect"/>
                  </pic:spPr>
                </pic:pic>
              </a:graphicData>
            </a:graphic>
          </wp:inline>
        </w:drawing>
      </w:r>
    </w:p>
    <w:p>
      <w:pPr>
        <w:pStyle w:val="Style27"/>
        <w:keepNext w:val="0"/>
        <w:keepLines w:val="0"/>
        <w:widowControl w:val="0"/>
        <w:shd w:val="clear" w:color="auto" w:fill="auto"/>
        <w:spacing w:before="0" w:after="0" w:line="286" w:lineRule="auto"/>
        <w:ind w:left="82" w:right="0" w:firstLine="0"/>
        <w:jc w:val="left"/>
        <w:rPr>
          <w:sz w:val="14"/>
        </w:rPr>
      </w:pPr>
      <w:r>
        <w:rPr>
          <w:rStyle w:val="CharStyle28"/>
          <w:color w:val="303030"/>
          <w:sz w:val="14"/>
        </w:rPr>
        <w:t xml:space="preserve">Envoyé: </w:t>
      </w:r>
      <w:r>
        <w:rPr>
          <w:rStyle w:val="CharStyle28"/>
          <w:color w:val="464648"/>
          <w:sz w:val="14"/>
        </w:rPr>
        <w:t xml:space="preserve">Vendredi 10 juillet 2020 12:27</w:t>
      </w:r>
    </w:p>
    <w:p>
      <w:pPr>
        <w:pStyle w:val="Style27"/>
        <w:keepNext w:val="0"/>
        <w:keepLines w:val="0"/>
        <w:widowControl w:val="0"/>
        <w:shd w:val="clear" w:color="auto" w:fill="auto"/>
        <w:spacing w:before="0" w:after="0" w:line="286" w:lineRule="auto"/>
        <w:ind w:left="82" w:right="0" w:firstLine="0"/>
        <w:jc w:val="left"/>
        <w:rPr>
          <w:sz w:val="14"/>
        </w:rPr>
      </w:pPr>
      <w:r>
        <w:rPr>
          <w:rStyle w:val="CharStyle28"/>
          <w:color w:val="303030"/>
          <w:sz w:val="14"/>
        </w:rPr>
        <w:t xml:space="preserve">À l'attention de: </w:t>
      </w:r>
      <w:r>
        <w:rPr>
          <w:rStyle w:val="CharStyle28"/>
          <w:color w:val="464648"/>
          <w:sz w:val="14"/>
        </w:rPr>
        <w:t xml:space="preserve">Kyle Kotary; Jonah Bruno (santé.ny.gov); Peter Ajemian; levier Dani; Gareth Rhodes (dfs.ny.gov); Jim Malatras (acteur)</w:t>
      </w:r>
    </w:p>
    <w:p>
      <w:pPr>
        <w:pStyle w:val="Style27"/>
        <w:keepNext w:val="0"/>
        <w:keepLines w:val="0"/>
        <w:widowControl w:val="0"/>
        <w:shd w:val="clear" w:color="auto" w:fill="auto"/>
        <w:spacing w:before="0" w:after="0" w:line="286" w:lineRule="auto"/>
        <w:ind w:left="82" w:right="0" w:firstLine="0"/>
        <w:jc w:val="left"/>
        <w:rPr>
          <w:sz w:val="14"/>
        </w:rPr>
      </w:pPr>
      <w:r>
        <w:rPr>
          <w:rStyle w:val="CharStyle28"/>
          <w:color w:val="303030"/>
          <w:sz w:val="14"/>
        </w:rPr>
        <w:t xml:space="preserve">Cc : </w:t>
      </w:r>
      <w:r>
        <w:rPr>
          <w:rStyle w:val="CharStyle28"/>
          <w:color w:val="464648"/>
          <w:sz w:val="14"/>
        </w:rPr>
        <w:t xml:space="preserve">Gary CHolmes (santé.ny.gov); </w:t>
      </w:r>
      <w:r>
        <w:rPr>
          <w:rStyle w:val="CharStyle28"/>
          <w:color w:val="838481"/>
          <w:sz w:val="14"/>
        </w:rPr>
        <w:t xml:space="preserve">Jill </w:t>
      </w:r>
      <w:r>
        <w:rPr>
          <w:rStyle w:val="CharStyle28"/>
          <w:color w:val="464648"/>
          <w:sz w:val="14"/>
        </w:rPr>
        <w:t xml:space="preserve">E Montag (santé.ny.gov)</w:t>
      </w:r>
    </w:p>
    <w:p>
      <w:pPr>
        <w:pStyle w:val="Style27"/>
        <w:keepNext w:val="0"/>
        <w:keepLines w:val="0"/>
        <w:widowControl w:val="0"/>
        <w:shd w:val="clear" w:color="auto" w:fill="auto"/>
        <w:spacing w:before="0" w:after="0" w:line="286" w:lineRule="auto"/>
        <w:ind w:left="82" w:right="0" w:firstLine="0"/>
        <w:jc w:val="left"/>
        <w:rPr>
          <w:sz w:val="14"/>
        </w:rPr>
      </w:pPr>
      <w:r>
        <w:rPr>
          <w:rStyle w:val="CharStyle28"/>
          <w:color w:val="303030"/>
          <w:sz w:val="14"/>
        </w:rPr>
        <w:t xml:space="preserve">Objet: </w:t>
      </w:r>
      <w:r>
        <w:rPr>
          <w:rStyle w:val="CharStyle28"/>
          <w:color w:val="464648"/>
          <w:sz w:val="14"/>
        </w:rPr>
        <w:t xml:space="preserve">En ce qui concerne: </w:t>
      </w:r>
      <w:r>
        <w:rPr>
          <w:rStyle w:val="CharStyle28"/>
          <w:color w:val="838481"/>
          <w:sz w:val="14"/>
        </w:rPr>
        <w:t xml:space="preserve">Jim </w:t>
      </w:r>
      <w:r>
        <w:rPr>
          <w:rStyle w:val="CharStyle28"/>
          <w:color w:val="464648"/>
          <w:sz w:val="14"/>
        </w:rPr>
        <w:t xml:space="preserve">s'il vous plaît voir les réponses ci-dessous. </w:t>
      </w:r>
      <w:r>
        <w:rPr>
          <w:rStyle w:val="CharStyle28"/>
          <w:color w:val="303030"/>
          <w:sz w:val="14"/>
        </w:rPr>
        <w:t xml:space="preserve">En ce qui concerne: </w:t>
      </w:r>
      <w:r>
        <w:rPr>
          <w:rStyle w:val="CharStyle28"/>
          <w:color w:val="464648"/>
          <w:sz w:val="14"/>
        </w:rPr>
        <w:t xml:space="preserve">FLAG : ProPublica plonge profondément dans l'étude </w:t>
      </w:r>
      <w:r>
        <w:rPr>
          <w:rStyle w:val="CharStyle28"/>
          <w:color w:val="464648"/>
          <w:sz w:val="14"/>
        </w:rPr>
        <w:t xml:space="preserve">DOH </w:t>
      </w:r>
      <w:r>
        <w:rPr>
          <w:rStyle w:val="CharStyle28"/>
          <w:color w:val="464648"/>
          <w:sz w:val="14"/>
        </w:rPr>
        <w:t xml:space="preserve">NH, Sapien/Sexton</w:t>
      </w:r>
    </w:p>
    <w:p>
      <w:pPr>
        <w:widowControl w:val="0"/>
        <w:spacing w:after="239" w:line="1" w:lineRule="exact"/>
      </w:pPr>
    </w:p>
    <w:p>
      <w:pPr>
        <w:pStyle w:val="Style57"/>
        <w:keepNext w:val="0"/>
        <w:keepLines w:val="0"/>
        <w:widowControl w:val="0"/>
        <w:shd w:val="clear" w:color="auto" w:fill="auto"/>
        <w:spacing w:before="0" w:after="360" w:line="266" w:lineRule="auto"/>
        <w:ind w:left="1360" w:right="0" w:firstLine="0"/>
        <w:jc w:val="left"/>
      </w:pPr>
      <w:r>
        <w:rPr>
          <w:rStyle w:val="CharStyle58"/>
          <w:color w:val="838481"/>
        </w:rPr>
        <w:t xml:space="preserve">Sur la lettre de merde d'hier, c'est ce que j'ai donné.</w:t>
      </w:r>
    </w:p>
    <w:p>
      <w:pPr>
        <w:pStyle w:val="Style57"/>
        <w:keepNext w:val="0"/>
        <w:keepLines w:val="0"/>
        <w:widowControl w:val="0"/>
        <w:shd w:val="clear" w:color="auto" w:fill="auto"/>
        <w:spacing w:before="0" w:after="240" w:line="266" w:lineRule="auto"/>
        <w:ind w:left="1900" w:right="0" w:firstLine="0"/>
        <w:jc w:val="left"/>
      </w:pPr>
      <w:r>
        <w:rPr>
          <w:rStyle w:val="CharStyle58"/>
          <w:color w:val="838481"/>
        </w:rPr>
        <w:t xml:space="preserve">Ces Trump de la taille d'un voyage peuvent écrire autant d'attaques partisanes de l'année électorale sur du papier à en-tête financé par les contribuables qu'ils le souhaitent, mais le fait est qu'ils n'ont pas le pouvoir de lancer leur propre enquête, en vertu d'un avis de 2017 du ministère de la Justice de Trump qui déclare: «Les membres individuels du Congrès, y compris les membres minoritaires de premier plan, n’ont pas le pouvoir de mener une surveillance en l’absence d’une délégation spécifique d’une chambre plénière, d’un comité ou d’un sous-comité». En outre, bien que le laboratoire fédéral n’ait pas présenté de cas positif de COVID-19 à New York avant mars, </w:t>
      </w:r>
      <w:r>
        <w:rPr>
          <w:rStyle w:val="CharStyle58"/>
          <w:color w:val="303030"/>
        </w:rPr>
        <w:t xml:space="preserve">les </w:t>
      </w:r>
      <w:r>
        <w:rPr>
          <w:rStyle w:val="CharStyle58"/>
          <w:color w:val="838481"/>
        </w:rPr>
        <w:t xml:space="preserve">experts disent maintenant qu’il était ici en février, sinon plus tôt, et l’étude </w:t>
      </w:r>
      <w:r>
        <w:rPr>
          <w:rStyle w:val="CharStyle58"/>
          <w:color w:val="464648"/>
        </w:rPr>
        <w:t xml:space="preserve">du DOH, qui a été examinée par des experts de Northwell’Health et de Mount Sinai, a montré de manière définitive que l’augmentation du nombre de décès dans les installations était précoce, probablement causée par des membres du personnel asymptomatiques sans faute de </w:t>
      </w:r>
      <w:r>
        <w:rPr>
          <w:rStyle w:val="CharStyle58"/>
          <w:color w:val="838481"/>
        </w:rPr>
        <w:t xml:space="preserve">leur part et antérieure à la directive du 25 mars. Nous sommes habitués aux républicains qui nient la science, mais maintenant ils hurlent sur le temps, l’espace et les dates sur un calendrier pour détourner l’attention des nombreux échecs embarrassants du gouvernement fédéral. Personne ne l'achète. </w:t>
      </w:r>
      <w:r>
        <w:rPr>
          <w:rStyle w:val="CharStyle58"/>
          <w:color w:val="464648"/>
        </w:rPr>
        <w:t xml:space="preserve"> </w:t>
      </w:r>
      <w:r>
        <w:rPr>
          <w:rStyle w:val="CharStyle58"/>
          <w:color w:val="838481"/>
        </w:rPr>
        <w:t xml:space="preserve">coupez-le </w:t>
      </w:r>
      <w:r>
        <w:rPr>
          <w:rStyle w:val="CharStyle58"/>
          <w:color w:val="464648"/>
        </w:rPr>
        <w:t xml:space="preserve"> </w:t>
      </w:r>
      <w:r>
        <w:rPr>
          <w:rStyle w:val="CharStyle58"/>
          <w:color w:val="838481"/>
        </w:rPr>
        <w:t xml:space="preserve">et portez un masque." </w:t>
      </w:r>
      <w:r>
        <w:rPr>
          <w:rStyle w:val="CharStyle58"/>
          <w:color w:val="838481"/>
          <w:u w:val="single"/>
        </w:rPr>
        <w:t xml:space="preserve">https:. ■ www.iustice.aov'olc/ftle 966326/télécharger</w:t>
      </w:r>
    </w:p>
    <w:p>
      <w:pPr>
        <w:pStyle w:val="Style24"/>
        <w:keepNext w:val="0"/>
        <w:keepLines w:val="0"/>
        <w:widowControl w:val="0"/>
        <w:shd w:val="clear" w:color="auto" w:fill="auto"/>
        <w:spacing w:before="0" w:line="264" w:lineRule="auto"/>
        <w:ind w:left="0" w:right="0" w:firstLine="740"/>
        <w:jc w:val="left"/>
      </w:pPr>
      <w:r>
        <w:rPr>
          <w:rStyle w:val="CharStyle25"/>
        </w:rPr>
        <w:t xml:space="preserve">Le successeur de M. Cuomo, l’actuelle gouverneure de l’État de New York, Kathy Hochul, a promis d’être «pleinement transparente» en ce qui concerne la COVID-19 dans les maisons de retraite.</w:t>
        <w:footnoteReference w:id="436"/>
        <w:t xml:space="preserve"> Une fois que le sous-comité restreint a commencé son enquête en 2023, il est devenu évident que l’administration Hochul n’était pas totalement transparente en ce qui concerne les défaillances de l’ancienne administration Cuomo.</w:t>
      </w:r>
    </w:p>
    <w:p>
      <w:pPr>
        <w:pStyle w:val="Style24"/>
        <w:keepNext w:val="0"/>
        <w:keepLines w:val="0"/>
        <w:widowControl w:val="0"/>
        <w:shd w:val="clear" w:color="auto" w:fill="auto"/>
        <w:spacing w:before="0" w:after="300"/>
        <w:ind w:left="0" w:right="0" w:firstLine="740"/>
        <w:jc w:val="left"/>
      </w:pPr>
      <w:r>
        <w:rPr>
          <w:rStyle w:val="CharStyle25"/>
        </w:rPr>
        <w:t xml:space="preserve">En mai 2023, le sous-comité restreint a demandé des documents et des informations à New York et à deux autres États qui avaient des ordonnances similaires à la directive du 25 mars de New York. </w:t>
        <w:footnoteReference w:id="437"/>
        <w:t xml:space="preserve">Le 10 octobre 2023, le sous-comité restreint a envoyé une demande de suivi à la Chambre exécutive.</w:t>
        <w:footnoteReference w:id="438"/>
        <w:t xml:space="preserve"> Le 6 novembre 2024, le sous-comité restreint a envoyé une troisième lettre à la Chambre exécutive.</w:t>
        <w:footnoteReference w:id="439"/>
        <w:t xml:space="preserve"> Huit mois après la demande initiale, en février 2024, la Chambre exécutive a produit sa première tranche de documents.</w:t>
      </w:r>
    </w:p>
    <w:p>
      <w:pPr>
        <w:pStyle w:val="Style24"/>
        <w:keepNext w:val="0"/>
        <w:keepLines w:val="0"/>
        <w:widowControl w:val="0"/>
        <w:shd w:val="clear" w:color="auto" w:fill="auto"/>
        <w:spacing w:before="0" w:after="300" w:line="264" w:lineRule="auto"/>
        <w:ind w:left="1460" w:right="0" w:hanging="1460"/>
        <w:jc w:val="left"/>
      </w:pPr>
      <w:r>
        <w:rPr>
          <w:rStyle w:val="CharStyle25"/>
        </w:rPr>
        <w:t xml:space="preserve">CONSTATATION : La production de la chambre exécutive est incomplète, trop expurgée et a retenu des milliers de documents réactifs sans fondement juridique apparent.</w:t>
      </w:r>
    </w:p>
    <w:p>
      <w:pPr>
        <w:pStyle w:val="Style24"/>
        <w:keepNext w:val="0"/>
        <w:keepLines w:val="0"/>
        <w:widowControl w:val="0"/>
        <w:shd w:val="clear" w:color="auto" w:fill="auto"/>
        <w:spacing w:before="0"/>
        <w:ind w:left="0" w:right="0" w:firstLine="740"/>
        <w:jc w:val="left"/>
      </w:pPr>
      <w:r>
        <w:rPr>
          <w:rStyle w:val="CharStyle25"/>
        </w:rPr>
        <w:t xml:space="preserve">Si, au 29 novembre 2024, la chambre exécutive avait produit près de 375 000 documents, il est évident qu’elle n’a pas pleinement répondu aux demandes du sous-comité restreint. Comme indiqué ci-dessous, les documents produits par la chambre exécutive sont incomplets et substantiellement expurgés – souvent, sans base juridique apparente. En outre, il existe des documents réactifs dont le sous-comité restreint sait l’existence – par le biais de rapports publics et de témoignages – qui n’ont pas été inclus dans les productions.</w:t>
      </w:r>
    </w:p>
    <w:p>
      <w:pPr>
        <w:pStyle w:val="Style24"/>
        <w:keepNext w:val="0"/>
        <w:keepLines w:val="0"/>
        <w:widowControl w:val="0"/>
        <w:shd w:val="clear" w:color="auto" w:fill="auto"/>
        <w:spacing w:before="0"/>
        <w:ind w:left="0" w:right="0" w:firstLine="740"/>
        <w:jc w:val="left"/>
      </w:pPr>
      <w:r>
        <w:rPr>
          <w:rStyle w:val="CharStyle25"/>
        </w:rPr>
        <w:t xml:space="preserve">En outre, la Chambre exécutive a retenu des milliers de pages de documents recevables en vertu de privilèges juridiques ténus. Au début de cette enquête, il n'était pas évident que la Chambre exécutive fournirait au Sous-comité restreint un registre des privilèges pour expliquer les expurgations jusqu'à ce que le Sous-comité restreint en fasse la demande. Enfin, la Chambre exécutive n'a pas informé le Sous-Comité spécial qu'elle retenait les documents pertinents tant que toutes les productions n'avaient pas été achevées et que le registre des privilèges n'avait pas été produit.</w:t>
      </w:r>
    </w:p>
    <w:p>
      <w:pPr>
        <w:pStyle w:val="Style24"/>
        <w:keepNext w:val="0"/>
        <w:keepLines w:val="0"/>
        <w:widowControl w:val="0"/>
        <w:shd w:val="clear" w:color="auto" w:fill="auto"/>
        <w:spacing w:before="0" w:after="280" w:line="259" w:lineRule="auto"/>
        <w:ind w:left="0" w:right="0" w:firstLine="740"/>
        <w:jc w:val="left"/>
      </w:pPr>
      <w:r>
        <w:rPr>
          <w:rStyle w:val="CharStyle25"/>
        </w:rPr>
        <w:t xml:space="preserve">En conséquence, le Comité de surveillance et de responsabilisation de la Chambre a délivré une assignation à comparaître au gouverneur Hochul le 10 septembre 2024.</w:t>
        <w:footnoteReference w:id="440"/>
      </w:r>
      <w:r>
        <w:br w:type="page"/>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0"/>
        <w:jc w:val="left"/>
      </w:pPr>
      <w:r>
        <w:rPr>
          <w:rStyle w:val="CharStyle25"/>
        </w:rPr>
        <w:t xml:space="preserve">La Chambre exécutive n'a pas avisé adéquatement le sous-comité restreint qu'elle retenait des documents pertinents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Avant la production des documents, la Chambre exécutive n'a pas informé le Sous-Comité spécial qu'elle retiendrait des documents pertinents ou qu'elle expurgerait certaines informations. Une fois que la chambre exécutive a commencé à produire des documents, la lettre d’accompagnement accompagnant la première production de documents de la chambre exécutive indiquait que la chambre exécutive produisait des documents «non privilégiés», mais n’indiquait pas explicitement que des documents réactifs étaient retenus ou produits avec des expurgations. </w:t>
        <w:footnoteReference w:id="441"/>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 14 février 2024, compte tenu des documents expurgés, le sous-comité restreint a demandé un journal des privilèges pour toutes les expurgations.</w:t>
        <w:footnoteReference w:id="442"/>
        <w:t xml:space="preserve"> L'avocat de la Chambre exécutive a répondu qu'elle produirait un registre des privilèges après la production de tous les documents non privilégiés. </w:t>
        <w:footnoteReference w:id="443"/>
        <w:t xml:space="preserve">À ce moment-là, la Chambre exécutive n'a pas explicitement informé le Sous-Comité spécial qu'en plus d'expurger des documents, elle retenait activement des documents recevables.</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ind w:left="0" w:right="0" w:firstLine="740"/>
        <w:jc w:val="left"/>
      </w:pPr>
      <w:r>
        <w:rPr>
          <w:rStyle w:val="CharStyle25"/>
        </w:rPr>
        <w:t xml:space="preserve">Le 24 septembre 2024, après avoir reçu signification de l'assignation à comparaître, le conseil de la Chambre exécutive a transmis une lettre au sous-comité restreint.</w:t>
        <w:footnoteReference w:id="444"/>
        <w:t xml:space="preserve"> Entre autres choses, cette lettre est trompeuse en ce qui concerne la production du registre des privilèges. Comme expliqué ci-dessus, le sous-comité restreint a demandé un registre des privilèges. La lettre de la chambre exécutive omet ostensiblement cette demande et indique simplement qu’elle «a notifié par écrit au personnel majoritaire que nous préparerions et produirions un journal des privilèges pour examen une fois que nous aurions terminé notre examen et notre production de documents non privilégiés».</w:t>
        <w:footnoteReference w:id="445"/>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740"/>
        <w:jc w:val="left"/>
      </w:pPr>
      <w:r>
        <w:rPr>
          <w:rStyle w:val="CharStyle25"/>
        </w:rPr>
        <w:t xml:space="preserve">En outre, la lettre du 24 septembre indique que la chambre exécutive a été « claire et cohérente quant à notre approche à l’égard des documents privilégiés dès le début de notre examen ».</w:t>
      </w:r>
      <w:r>
        <w:rPr>
          <w:rStyle w:val="CharStyle25"/>
          <w:vertAlign w:val="superscript"/>
        </w:rPr>
        <w:t>1900</w:t>
      </w:r>
      <w:r>
        <w:rPr>
          <w:rStyle w:val="CharStyle25"/>
        </w:rPr>
        <w:t xml:space="preserve"> La lettre du 24 septembre affirmait que « notre production de divers documents expurgés soulignait en outre que certains documents étaient retenus sur la base du privilège ».</w:t>
      </w:r>
      <w:r>
        <w:rPr>
          <w:rStyle w:val="CharStyle25"/>
          <w:vertAlign w:val="superscript"/>
        </w:rPr>
        <w:t xml:space="preserve">1901 </w:t>
      </w:r>
      <w:r>
        <w:rPr>
          <w:rStyle w:val="CharStyle25"/>
        </w:rPr>
        <w:t xml:space="preserve">La position apparente de la chambre exécutive était que, parce que certains documents étaient partiellement expurgés, le sous-comité restreint devait supposer que des milliers d’autres documents étaient retenus dans leur intégralité.</w:t>
      </w:r>
    </w:p>
    <w:p>
      <w:pPr>
        <w:pStyle w:val="Style24"/>
        <w:keepNext w:val="0"/>
        <w:keepLines w:val="0"/>
        <w:widowControl w:val="0"/>
        <w:pBdr>
          <w:top w:val="single" w:sz="4" w:space="0" w:color="auto"/>
          <w:left w:val="single" w:sz="4" w:space="0" w:color="auto"/>
          <w:bottom w:val="single" w:sz="4" w:space="0" w:color="auto"/>
          <w:right w:val="single" w:sz="4" w:space="0" w:color="auto"/>
        </w:pBdr>
        <w:shd w:val="clear" w:color="auto" w:fill="auto"/>
        <w:spacing w:before="0" w:line="264" w:lineRule="auto"/>
        <w:ind w:left="0" w:right="0" w:firstLine="0"/>
        <w:jc w:val="left"/>
      </w:pPr>
      <w:r>
        <mc:AlternateContent>
          <mc:Choice Requires="wps">
            <w:drawing>
              <wp:anchor distT="0" distB="0" distL="0" distR="0" simplePos="0" relativeHeight="125829475" behindDoc="0" locked="0" layoutInCell="1" allowOverlap="1">
                <wp:simplePos x="0" y="0"/>
                <wp:positionH relativeFrom="page">
                  <wp:posOffset>977900</wp:posOffset>
                </wp:positionH>
                <wp:positionV relativeFrom="paragraph">
                  <wp:posOffset>2082800</wp:posOffset>
                </wp:positionV>
                <wp:extent cx="356870" cy="551815"/>
                <wp:wrapSquare wrapText="right"/>
                <wp:docPr id="233" name="Forme 233"/>
                <a:graphic xmlns:a="http://schemas.openxmlformats.org/drawingml/2006/main">
                  <a:graphicData uri="http://schemas.microsoft.com/office/word/2010/wordprocessingShape">
                    <wps:wsp>
                      <wps:cNvSpPr txBox="1"/>
                      <wps:spPr>
                        <a:xfrm>
                          <a:ext cx="356870" cy="551815"/>
                        </a:xfrm>
                        <a:prstGeom prst="rect"/>
                        <a:noFill/>
                      </wps:spPr>
                      <wps:txbx>
                        <w:txbxContent>
                          <w:p>
                            <w:pPr>
                              <w:pStyle w:val="Style24"/>
                              <w:keepNext w:val="0"/>
                              <w:keepLines w:val="0"/>
                              <w:widowControl w:val="0"/>
                              <w:shd w:val="clear" w:color="auto" w:fill="auto"/>
                              <w:spacing w:before="140" w:after="100" w:line="240" w:lineRule="auto"/>
                              <w:ind w:left="0" w:right="0" w:firstLine="0"/>
                              <w:jc w:val="left"/>
                              <w:rPr>
                                <w:sz w:val="30"/>
                              </w:rPr>
                            </w:pPr>
                            <w:r>
                              <w:rPr>
                                <w:rStyle w:val="CharStyle25"/>
                                <w:sz w:val="20"/>
                              </w:rPr>
                              <w:t xml:space="preserve">1899 </w:t>
                            </w:r>
                            <w:r>
                              <w:rPr>
                                <w:rStyle w:val="CharStyle25"/>
                                <w:sz w:val="30"/>
                                <w:vertAlign w:val="subscript"/>
                              </w:rPr>
                              <w:t>Id.</w:t>
                            </w:r>
                          </w:p>
                          <w:p>
                            <w:pPr>
                              <w:pStyle w:val="Style24"/>
                              <w:keepNext w:val="0"/>
                              <w:keepLines w:val="0"/>
                              <w:widowControl w:val="0"/>
                              <w:shd w:val="clear" w:color="auto" w:fill="auto"/>
                              <w:spacing w:before="0" w:after="0" w:line="240" w:lineRule="auto"/>
                              <w:ind w:left="0" w:right="0" w:firstLine="0"/>
                              <w:jc w:val="left"/>
                              <w:rPr>
                                <w:sz w:val="20"/>
                              </w:rPr>
                            </w:pPr>
                            <w:r>
                              <w:rPr>
                                <w:rStyle w:val="CharStyle25"/>
                                <w:sz w:val="20"/>
                                <w:vertAlign w:val="superscript"/>
                              </w:rPr>
                              <w:t>1900</w:t>
                            </w:r>
                            <w:r>
                              <w:rPr>
                                <w:rStyle w:val="CharStyle25"/>
                                <w:sz w:val="20"/>
                              </w:rPr>
                              <w:t xml:space="preserve"> Id.</w:t>
                            </w:r>
                          </w:p>
                          <w:p>
                            <w:pPr>
                              <w:pStyle w:val="Style24"/>
                              <w:keepNext w:val="0"/>
                              <w:keepLines w:val="0"/>
                              <w:widowControl w:val="0"/>
                              <w:shd w:val="clear" w:color="auto" w:fill="auto"/>
                              <w:spacing w:before="0" w:after="0" w:line="180" w:lineRule="auto"/>
                              <w:ind w:left="0" w:right="0" w:firstLine="0"/>
                              <w:jc w:val="left"/>
                              <w:rPr>
                                <w:sz w:val="30"/>
                              </w:rPr>
                            </w:pPr>
                            <w:r>
                              <w:rPr>
                                <w:rStyle w:val="CharStyle25"/>
                                <w:sz w:val="20"/>
                              </w:rPr>
                              <w:t xml:space="preserve">1901 </w:t>
                            </w:r>
                            <w:r>
                              <w:rPr>
                                <w:rStyle w:val="CharStyle25"/>
                                <w:sz w:val="30"/>
                                <w:vertAlign w:val="subscript"/>
                              </w:rPr>
                              <w:t>Id.</w:t>
                            </w:r>
                          </w:p>
                        </w:txbxContent>
                      </wps:txbx>
                      <wps:bodyPr lIns="0" tIns="0" rIns="0" bIns="0">
                        <a:noAutoFit/>
                      </wps:bodyPr>
                    </wps:wsp>
                  </a:graphicData>
                </a:graphic>
              </wp:anchor>
            </w:drawing>
          </mc:Choice>
        </mc:AlternateContent>
      </w:r>
      <w:r>
        <w:rPr>
          <w:rStyle w:val="CharStyle25"/>
        </w:rPr>
        <w:t xml:space="preserve">La Chambre exécutive a retenu des milliers de pages de documents sensibles en vertu de privilèges juridiques tenaces</w:t>
      </w:r>
    </w:p>
    <w:p>
      <w:pPr>
        <w:pStyle w:val="Style24"/>
        <w:keepNext w:val="0"/>
        <w:keepLines w:val="0"/>
        <w:widowControl w:val="0"/>
        <w:shd w:val="clear" w:color="auto" w:fill="auto"/>
        <w:spacing w:before="0" w:line="264" w:lineRule="auto"/>
        <w:ind w:left="0" w:right="0" w:firstLine="760"/>
        <w:jc w:val="left"/>
      </w:pPr>
      <w:r>
        <w:rPr>
          <w:rStyle w:val="CharStyle25"/>
        </w:rPr>
        <w:t xml:space="preserve">En ce qui concerne le registre des privilèges, il a fourni des renseignements insuffisants, et dans certains domaines incomplets, pour permettre au Sous-Comité restreint d'identifier et d'évaluer adéquatement les documents ou les renseignements que la Chambre exécutive a expurgés ou retenus. En particulier, le journal des privilèges comprend des entrées de courrier électronique qui expurgent entièrement l'objet du courrier électronique.</w:t>
        <w:footnoteReference w:id="446"/>
      </w:r>
    </w:p>
    <w:p>
      <w:pPr>
        <w:pStyle w:val="Style24"/>
        <w:keepNext w:val="0"/>
        <w:keepLines w:val="0"/>
        <w:widowControl w:val="0"/>
        <w:shd w:val="clear" w:color="auto" w:fill="auto"/>
        <w:spacing w:before="0"/>
        <w:ind w:left="0" w:right="0" w:firstLine="760"/>
        <w:jc w:val="left"/>
      </w:pPr>
      <w:r>
        <w:rPr>
          <w:rStyle w:val="CharStyle25"/>
        </w:rPr>
        <w:t xml:space="preserve">De plus, les descriptions des communications dans le registre des privilèges sont tout à fait trop vagues pour informer adéquatement le sous-comité restreint des documents en cause. Par exemple, la description est limitée dans de nombreuses entrées à un « fil de discussion [e]mail reflétant les délibérations gouvernementales concernant les informations NYS ».</w:t>
        <w:footnoteReference w:id="447"/>
      </w:r>
    </w:p>
    <w:p>
      <w:pPr>
        <w:pStyle w:val="Style24"/>
        <w:keepNext w:val="0"/>
        <w:keepLines w:val="0"/>
        <w:widowControl w:val="0"/>
        <w:shd w:val="clear" w:color="auto" w:fill="auto"/>
        <w:spacing w:before="0"/>
        <w:ind w:left="0" w:right="0" w:firstLine="760"/>
        <w:jc w:val="left"/>
      </w:pPr>
      <w:r>
        <w:rPr>
          <w:rStyle w:val="CharStyle25"/>
        </w:rPr>
        <w:t xml:space="preserve">La chambre exécutive a affirmé que le privilège du processus délibératif – à supposer qu’il soit reconnu – s’applique aux communications émanant de personnes apparemment non employées par le gouvernement de l’État de New York. Entre autres choses, la chambre exécutive a retenu des documents et des communications liés au rapport NYSDOH du 6 juillet 2020, intitulé «Factors Associated with Nursing Home Infections and Fatalities in New York During the COVID-19 Global Health Crisis [ci-après le «rapport NYDOH»] – qui a été explicitement demandé par la lettre du 6 novembre du sous-comité restreint – qui ont été envoyés par Michael Dowling de Northwell Health,</w:t>
        <w:footnoteReference w:id="448"/>
        <w:t xml:space="preserve"> David Grabowski de l’université Harvard,</w:t>
        <w:footnoteReference w:id="449"/>
        <w:t xml:space="preserve"> et des personnes de McKinsey &amp; Company.</w:t>
        <w:footnoteReference w:id="450"/>
      </w:r>
    </w:p>
    <w:p>
      <w:pPr>
        <w:pStyle w:val="Style24"/>
        <w:keepNext w:val="0"/>
        <w:keepLines w:val="0"/>
        <w:widowControl w:val="0"/>
        <w:shd w:val="clear" w:color="auto" w:fill="auto"/>
        <w:spacing w:before="0"/>
        <w:ind w:left="0" w:right="0" w:firstLine="760"/>
        <w:jc w:val="left"/>
      </w:pPr>
      <w:r>
        <w:rPr>
          <w:rStyle w:val="CharStyle25"/>
        </w:rPr>
        <w:t xml:space="preserve">Bien que le sous-comité restreint ne reconnaisse pas le privilège du processus délibératif, même s’il l’a fait, les affirmations de la chambre exécutive sont incorrectes et trop larges. Le privilège du processus délibératif sert à protéger les communications internes et prédécisionnelles du personnel gouvernemental, et non les communications externes avec le personnel non gouvernemental qui sont de nature purement factuelle ou qui ne sont pas de nature délibérative.</w:t>
        <w:footnoteReference w:id="451"/>
        <w:t xml:space="preserve"> La Chambre exécutive n'a pas expliqué pourquoi les communications en provenance, à destination ou entre des personnes qui n'étaient pas employées par la Chambre exécutive, et dans de nombreux cas, n'étaient même pas employées par l'État de New York, sont protégées par le privilège du processus délibératif, même s'il devait être reconnu ici. La Chambre exécutive n'a pas non plus expliqué pourquoi l'inclusion de ces tiers n'a pas renoncé à une éventuelle demande de privilège.</w:t>
      </w:r>
    </w:p>
    <w:p>
      <w:pPr>
        <w:pStyle w:val="Style24"/>
        <w:keepNext w:val="0"/>
        <w:keepLines w:val="0"/>
        <w:widowControl w:val="0"/>
        <w:shd w:val="clear" w:color="auto" w:fill="auto"/>
        <w:spacing w:before="0"/>
        <w:ind w:left="0" w:right="0" w:firstLine="740"/>
        <w:jc w:val="left"/>
      </w:pPr>
      <w:r>
        <w:rPr>
          <w:rStyle w:val="CharStyle25"/>
        </w:rPr>
        <w:t xml:space="preserve">S'il est reconnu, le privilège du processus délibératif peut s'appliquer aux documents préparés par des consultants retenus par le gouvernement.</w:t>
        <w:footnoteReference w:id="452"/>
        <w:t xml:space="preserve"> Cependant, la Chambre exécutive n'a pas fourni d'explication raisonnable pour les demandes de privilège de procédure délibérative pour les communications impliquant des tiers. Plus précisément, la question de savoir si les tiers ont été retenus à titre de consultants et si la communication a été refusée impliquait un dossier produit en vue de leur conservation.</w:t>
      </w:r>
    </w:p>
    <w:p>
      <w:pPr>
        <w:pStyle w:val="Style24"/>
        <w:keepNext w:val="0"/>
        <w:keepLines w:val="0"/>
        <w:widowControl w:val="0"/>
        <w:shd w:val="clear" w:color="auto" w:fill="auto"/>
        <w:spacing w:before="0"/>
        <w:ind w:left="0" w:right="0" w:firstLine="740"/>
        <w:jc w:val="left"/>
      </w:pPr>
      <w:r>
        <w:rPr>
          <w:rStyle w:val="CharStyle25"/>
        </w:rPr>
        <w:t xml:space="preserve">La Chambre exécutive a également indûment étendu le privilège avocat-client afin de retenir les documents et les communications sensibles. Par exemple, la Chambre exécutive a fait valoir que le privilège s'appliquait aux communications émanant de non-avocats, y compris, mais sans s'y limiter, les communications émanant de hauts fonctionnaires de la Chambre exécutive. Dans un exemple, la Chambre exécutive a retenu quatre courriels consécutifs d'un assistant administratif au motif apparent qu'ils étaient couverts par le secret professionnel de l'avocat. </w:t>
        <w:footnoteReference w:id="453"/>
        <w:t xml:space="preserve">Bien que la Chambre exécutive affirme que bon nombre de ces communications sont des demandes d'avis juridiques, l'utilisation excessive de cette description tout au long des productions, sans contexte suffisant, a soulevé de sérieuses questions.</w:t>
      </w:r>
    </w:p>
    <w:p>
      <w:pPr>
        <w:pStyle w:val="Style24"/>
        <w:keepNext w:val="0"/>
        <w:keepLines w:val="0"/>
        <w:widowControl w:val="0"/>
        <w:shd w:val="clear" w:color="auto" w:fill="auto"/>
        <w:spacing w:before="0"/>
        <w:ind w:left="0" w:right="0" w:firstLine="740"/>
        <w:jc w:val="left"/>
      </w:pPr>
      <w:r>
        <w:rPr>
          <w:rStyle w:val="CharStyle25"/>
        </w:rPr>
        <w:t xml:space="preserve">En outre, la Chambre exécutive a apparemment étendu le privilège avocat-client pour protéger les communications des personnes qui n'ont pas de relation avocat-client avec la Chambre exécutive. Par exemple, Linda Lacewell a témoigné devant le comité restreint qu’elle agissait en tant que surintendante de DFS pendant la pandémie – un poste qui n’exigeait pas la fourniture de conseils juridiques au gouverneur ou à la chambre exécutive – mais la chambre exécutive a affirmé que les communications avec elle étaient en quelque sorte protégées par le privilège du</w:t>
        <w:softHyphen/>
        <w:t xml:space="preserve">client avocat.</w:t>
        <w:footnoteReference w:id="454"/>
        <w:t xml:space="preserve"> Mme Lacewell témoigne qu’en plus de son rôle réel de surintendante, elle a également agi en tant que conseillère juridique auprès de la chambre exécutive et du groupe de travail sur la COVID-19 de New York.</w:t>
        <w:footnoteReference w:id="455"/>
        <w:t xml:space="preserve"> Toutefois, le sous-comité restreint conteste l’existence d’une relation avocat-client entre Mme Lacewell et la chambre exécutive ou le groupe de travail sur la COVID-19 de New York.</w:t>
      </w:r>
    </w:p>
    <w:p>
      <w:pPr>
        <w:pStyle w:val="Style24"/>
        <w:keepNext w:val="0"/>
        <w:keepLines w:val="0"/>
        <w:widowControl w:val="0"/>
        <w:shd w:val="clear" w:color="auto" w:fill="auto"/>
        <w:spacing w:before="0" w:after="1640" w:line="259" w:lineRule="auto"/>
        <w:ind w:left="0" w:right="0" w:firstLine="740"/>
        <w:jc w:val="left"/>
      </w:pPr>
      <w:r>
        <w:rPr>
          <w:rStyle w:val="CharStyle25"/>
        </w:rPr>
        <w:t xml:space="preserve">Un exemple illustratif de ceci est le courriel suivant que la Chambre exécutive a marqué comme protégé à la fois par le processus délibératif et les privilèges avocat-client.</w:t>
      </w:r>
    </w:p>
    <w:p>
      <w:pPr>
        <w:pStyle w:val="Style24"/>
        <w:keepNext w:val="0"/>
        <w:keepLines w:val="0"/>
        <w:widowControl w:val="0"/>
        <w:shd w:val="clear" w:color="auto" w:fill="auto"/>
        <w:spacing w:before="0" w:line="240" w:lineRule="auto"/>
        <w:ind w:left="0" w:right="0" w:firstLine="0"/>
        <w:jc w:val="center"/>
      </w:pPr>
      <w:r>
        <w:rPr>
          <w:rStyle w:val="CharStyle25"/>
        </w:rPr>
        <w:t xml:space="preserve">[REMAINDER OF PAGE INTENTIONALLY BLANK]</w:t>
      </w:r>
      <w:r>
        <w:br w:type="page"/>
      </w:r>
      <w:r>
        <w:rPr>
          <w:rStyle w:val="CharStyle25"/>
        </w:rPr>
        <w:t xml:space="preserve">[REMAINDER OF PAGE INTENTIONALLY BLANK] [REMAINDER OF PAGE INTENTIONALLY BLANK]</w:t>
      </w:r>
    </w:p>
    <w:p>
      <w:pPr>
        <w:pStyle w:val="Style36"/>
        <w:keepNext w:val="0"/>
        <w:keepLines w:val="0"/>
        <w:widowControl w:val="0"/>
        <w:shd w:val="clear" w:color="auto" w:fill="auto"/>
        <w:spacing w:before="0" w:after="0" w:line="269" w:lineRule="auto"/>
        <w:ind w:left="1860" w:right="0" w:firstLine="0"/>
        <w:jc w:val="left"/>
      </w:pPr>
      <w:r>
        <mc:AlternateContent>
          <mc:Choice Requires="wps">
            <w:drawing>
              <wp:anchor distT="0" distB="0" distL="114300" distR="114300" simplePos="0" relativeHeight="125829477" behindDoc="0" locked="0" layoutInCell="1" allowOverlap="1">
                <wp:simplePos x="0" y="0"/>
                <wp:positionH relativeFrom="page">
                  <wp:posOffset>2204720</wp:posOffset>
                </wp:positionH>
                <wp:positionV relativeFrom="margin">
                  <wp:posOffset>140335</wp:posOffset>
                </wp:positionV>
                <wp:extent cx="1329055" cy="133985"/>
                <wp:wrapTopAndBottom/>
                <wp:docPr id="235" name="Forme 235"/>
                <a:graphic xmlns:a="http://schemas.openxmlformats.org/drawingml/2006/main">
                  <a:graphicData uri="http://schemas.microsoft.com/office/word/2010/wordprocessingShape">
                    <wps:wsp>
                      <wps:cNvSpPr txBox="1"/>
                      <wps:spPr>
                        <a:xfrm>
                          <a:ext cx="1329055" cy="133985"/>
                        </a:xfrm>
                        <a:prstGeom prst="rect"/>
                        <a:noFill/>
                      </wps:spPr>
                      <wps:txbx>
                        <w:txbxContent>
                          <w:p>
                            <w:pPr>
                              <w:pStyle w:val="Style57"/>
                              <w:keepNext w:val="0"/>
                              <w:keepLines w:val="0"/>
                              <w:widowControl w:val="0"/>
                              <w:shd w:val="clear" w:color="auto" w:fill="auto"/>
                              <w:tabs>
                                <w:tab w:pos="1070" w:val="left"/>
                              </w:tabs>
                              <w:spacing w:before="0" w:after="0" w:line="240" w:lineRule="auto"/>
                              <w:ind w:left="0" w:right="0" w:firstLine="0"/>
                              <w:jc w:val="left"/>
                            </w:pPr>
                            <w:r>
                              <w:rPr>
                                <w:rStyle w:val="CharStyle58"/>
                                <w:b/>
                                <w:color w:val="000000"/>
                                <w:sz w:val="16"/>
                              </w:rPr>
                              <w:t>Objet:</w:t>
                              <w:tab/>
                            </w:r>
                            <w:r>
                              <w:rPr>
                                <w:rStyle w:val="CharStyle58"/>
                                <w:color w:val="0E2841"/>
                              </w:rPr>
                              <w:t xml:space="preserve">En ce qui concerne: Rapport du NH</w:t>
                            </w:r>
                          </w:p>
                        </w:txbxContent>
                      </wps:txbx>
                      <wps:bodyPr wrap="none" lIns="0" tIns="0" rIns="0" bIns="0">
                        <a:noAutoFit/>
                      </wps:bodyPr>
                    </wps:wsp>
                  </a:graphicData>
                </a:graphic>
              </wp:anchor>
            </w:drawing>
          </mc:Choice>
        </mc:AlternateContent>
      </w:r>
      <w:r>
        <w:rPr>
          <w:rStyle w:val="CharStyle37"/>
          <w:b/>
          <w:color w:val="000000"/>
        </w:rPr>
        <w:t xml:space="preserve">Date :</w:t>
      </w:r>
    </w:p>
    <w:p>
      <w:pPr>
        <w:pStyle w:val="Style36"/>
        <w:keepNext w:val="0"/>
        <w:keepLines w:val="0"/>
        <w:widowControl w:val="0"/>
        <w:shd w:val="clear" w:color="auto" w:fill="auto"/>
        <w:spacing w:before="0" w:after="0" w:line="269" w:lineRule="auto"/>
        <w:ind w:left="1860" w:right="0" w:firstLine="20"/>
        <w:jc w:val="left"/>
      </w:pPr>
      <w:r>
        <w:rPr>
          <w:rStyle w:val="CharStyle37"/>
          <w:b/>
          <w:color w:val="000000"/>
        </w:rPr>
        <w:t xml:space="preserve">À partir de: À l'attention de:</w:t>
      </w:r>
    </w:p>
    <w:p>
      <w:pPr>
        <w:pStyle w:val="Style36"/>
        <w:keepNext w:val="0"/>
        <w:keepLines w:val="0"/>
        <w:widowControl w:val="0"/>
        <w:shd w:val="clear" w:color="auto" w:fill="auto"/>
        <w:spacing w:before="0" w:after="160" w:line="240" w:lineRule="auto"/>
        <w:ind w:left="1860" w:right="0" w:firstLine="20"/>
        <w:jc w:val="left"/>
        <w:rPr>
          <w:sz w:val="15"/>
        </w:rPr>
      </w:pPr>
      <w:r>
        <mc:AlternateContent>
          <mc:Choice Requires="wps">
            <w:drawing>
              <wp:anchor distT="0" distB="262255" distL="117475" distR="113665" simplePos="0" relativeHeight="125829479" behindDoc="0" locked="0" layoutInCell="1" allowOverlap="1">
                <wp:simplePos x="0" y="0"/>
                <wp:positionH relativeFrom="page">
                  <wp:posOffset>2887345</wp:posOffset>
                </wp:positionH>
                <wp:positionV relativeFrom="margin">
                  <wp:posOffset>271145</wp:posOffset>
                </wp:positionV>
                <wp:extent cx="2856230" cy="130810"/>
                <wp:wrapSquare wrapText="left"/>
                <wp:docPr id="237" name="Forme 237"/>
                <a:graphic xmlns:a="http://schemas.openxmlformats.org/drawingml/2006/main">
                  <a:graphicData uri="http://schemas.microsoft.com/office/word/2010/wordprocessingShape">
                    <wps:wsp>
                      <wps:cNvSpPr txBox="1"/>
                      <wps:spPr>
                        <a:xfrm>
                          <a:ext cx="2856230" cy="130810"/>
                        </a:xfrm>
                        <a:prstGeom prst="rect"/>
                        <a:noFill/>
                      </wps:spPr>
                      <wps:txbx>
                        <w:txbxContent>
                          <w:p>
                            <w:pPr>
                              <w:pStyle w:val="Style57"/>
                              <w:keepNext w:val="0"/>
                              <w:keepLines w:val="0"/>
                              <w:widowControl w:val="0"/>
                              <w:shd w:val="clear" w:color="auto" w:fill="auto"/>
                              <w:spacing w:before="0" w:after="0" w:line="240" w:lineRule="auto"/>
                              <w:ind w:left="0" w:right="0" w:firstLine="0"/>
                              <w:jc w:val="left"/>
                            </w:pPr>
                            <w:r>
                              <w:rPr>
                                <w:rStyle w:val="CharStyle58"/>
                                <w:color w:val="000000"/>
                              </w:rPr>
                              <w:t xml:space="preserve">Samedi 27 juin 2020 à 11:00:36 Heure avancée de l'Est</w:t>
                            </w:r>
                          </w:p>
                        </w:txbxContent>
                      </wps:txbx>
                      <wps:bodyPr wrap="none" lIns="0" tIns="0" rIns="0" bIns="0">
                        <a:noAutoFit/>
                      </wps:bodyPr>
                    </wps:wsp>
                  </a:graphicData>
                </a:graphic>
              </wp:anchor>
            </w:drawing>
          </mc:Choice>
        </mc:AlternateContent>
      </w:r>
      <w:r>
        <w:drawing>
          <wp:anchor distT="130810" distB="0" distL="114300" distR="1906270" simplePos="0" relativeHeight="125829481" behindDoc="0" locked="0" layoutInCell="1" allowOverlap="1">
            <wp:simplePos x="0" y="0"/>
            <wp:positionH relativeFrom="page">
              <wp:posOffset>2884170</wp:posOffset>
            </wp:positionH>
            <wp:positionV relativeFrom="margin">
              <wp:posOffset>401955</wp:posOffset>
            </wp:positionV>
            <wp:extent cx="1066800" cy="262255"/>
            <wp:wrapSquare wrapText="left"/>
            <wp:docPr id="239" name="Forme 239"/>
            <a:graphic xmlns:a="http://schemas.openxmlformats.org/drawingml/2006/main">
              <a:graphicData uri="http://schemas.openxmlformats.org/drawingml/2006/picture">
                <pic:pic xmlns:pic="http://schemas.openxmlformats.org/drawingml/2006/picture">
                  <pic:nvPicPr>
                    <pic:cNvPr id="240" name="Boîte à images 240"/>
                    <pic:cNvPicPr/>
                  </pic:nvPicPr>
                  <pic:blipFill>
                    <a:blip r:embed="rId126"/>
                    <a:stretch/>
                  </pic:blipFill>
                  <pic:spPr>
                    <a:xfrm>
                      <a:ext cx="1066800" cy="262255"/>
                    </a:xfrm>
                    <a:prstGeom prst="rect"/>
                  </pic:spPr>
                </pic:pic>
              </a:graphicData>
            </a:graphic>
          </wp:anchor>
        </w:drawing>
      </w:r>
      <w:r>
        <w:rPr>
          <w:rStyle w:val="CharStyle37"/>
          <w:b/>
          <w:color w:val="000000"/>
        </w:rPr>
        <w:t xml:space="preserve">Pièces jointes: </w:t>
      </w:r>
      <w:r>
        <w:rPr>
          <w:rStyle w:val="CharStyle37"/>
          <w:color w:val="303030"/>
          <w:sz w:val="15"/>
        </w:rPr>
        <w:t>imageOOl.png</w:t>
      </w:r>
    </w:p>
    <w:p>
      <w:pPr>
        <w:pStyle w:val="Style32"/>
        <w:keepNext w:val="0"/>
        <w:keepLines w:val="0"/>
        <w:widowControl w:val="0"/>
        <w:shd w:val="clear" w:color="auto" w:fill="auto"/>
        <w:spacing w:before="0" w:after="100" w:line="240" w:lineRule="auto"/>
        <w:ind w:left="1860" w:right="0" w:firstLine="20"/>
        <w:jc w:val="left"/>
      </w:pPr>
      <w:r>
        <w:rPr>
          <w:rStyle w:val="CharStyle33"/>
          <w:color w:val="464648"/>
        </w:rPr>
        <w:t xml:space="preserve">C'était un </w:t>
      </w:r>
      <w:r>
        <w:rPr>
          <w:rStyle w:val="CharStyle33"/>
          <w:color w:val="000000"/>
        </w:rPr>
        <w:t xml:space="preserve">Q du </w:t>
      </w:r>
      <w:r>
        <w:rPr>
          <w:rStyle w:val="CharStyle33"/>
          <w:color w:val="464648"/>
        </w:rPr>
        <w:t xml:space="preserve"> </w:t>
      </w:r>
      <w:r>
        <w:rPr>
          <w:rStyle w:val="CharStyle33"/>
          <w:color w:val="303030"/>
        </w:rPr>
        <w:t xml:space="preserve">MDR </w:t>
      </w:r>
      <w:r>
        <w:rPr>
          <w:rStyle w:val="CharStyle33"/>
          <w:color w:val="464648"/>
        </w:rPr>
        <w:t xml:space="preserve">et la raison de l'appel de ce matin.</w:t>
      </w:r>
    </w:p>
    <w:p>
      <w:pPr>
        <w:pStyle w:val="Style24"/>
        <w:keepNext w:val="0"/>
        <w:keepLines w:val="0"/>
        <w:widowControl w:val="0"/>
        <w:shd w:val="clear" w:color="auto" w:fill="auto"/>
        <w:spacing w:before="0" w:after="0" w:line="240" w:lineRule="auto"/>
        <w:ind w:left="1860" w:right="0" w:firstLine="20"/>
        <w:jc w:val="left"/>
        <w:rPr>
          <w:sz w:val="20"/>
        </w:rPr>
      </w:pPr>
      <w:r>
        <w:rPr>
          <w:rStyle w:val="CharStyle25"/>
          <w:color w:val="464648"/>
          <w:sz w:val="20"/>
        </w:rPr>
        <w:t xml:space="preserve">Envoyé depuis </w:t>
      </w:r>
      <w:r>
        <w:rPr>
          <w:rStyle w:val="CharStyle25"/>
          <w:color w:val="303030"/>
          <w:sz w:val="20"/>
        </w:rPr>
        <w:t xml:space="preserve">mon iPhone</w:t>
      </w:r>
    </w:p>
    <w:p>
      <w:pPr>
        <w:widowControl w:val="0"/>
      </w:pPr>
    </w:p>
    <w:p>
      <w:pPr>
        <w:pStyle w:val="Style32"/>
        <w:keepNext w:val="0"/>
        <w:keepLines w:val="0"/>
        <w:widowControl w:val="0"/>
        <w:pBdr>
          <w:top w:val="single" w:sz="0" w:space="0" w:color="E35305"/>
          <w:left w:val="single" w:sz="0" w:space="0" w:color="E35305"/>
          <w:bottom w:val="single" w:sz="0" w:space="1" w:color="E35305"/>
          <w:right w:val="single" w:sz="0" w:space="0" w:color="E35305"/>
        </w:pBdr>
        <w:shd w:val="clear" w:color="auto" w:fill="E35305"/>
        <w:tabs>
          <w:tab w:leader="underscore" w:pos="1517" w:val="left"/>
          <w:tab w:leader="underscore" w:pos="4978" w:val="left"/>
        </w:tabs>
        <w:spacing w:before="0" w:after="0" w:line="240" w:lineRule="auto"/>
        <w:ind w:left="0" w:right="0" w:firstLine="0"/>
        <w:jc w:val="center"/>
        <w:rPr>
          <w:sz w:val="11"/>
        </w:rPr>
      </w:pPr>
      <w:r>
        <w:rPr>
          <w:rStyle w:val="CharStyle33"/>
          <w:i/>
          <w:color w:val="FDC533"/>
          <w:sz w:val="11"/>
        </w:rPr>
        <w:t xml:space="preserve">ATTENTION : Cet e-mail provient d'une source externe. N'ouvrez pas les pièces jointes ou dick sur les liens de</w:t>
      </w:r>
      <w:r>
        <w:rPr>
          <w:rStyle w:val="CharStyle33"/>
          <w:i/>
          <w:color w:val="FDC533"/>
          <w:sz w:val="11"/>
        </w:rPr>
        <w:br/>
      </w:r>
      <w:r>
        <w:rPr>
          <w:rStyle w:val="CharStyle33"/>
          <w:i/>
          <w:color w:val="C8CBCC"/>
          <w:sz w:val="11"/>
        </w:rPr>
        <w:tab/>
      </w:r>
      <w:r>
        <w:rPr>
          <w:rStyle w:val="CharStyle33"/>
          <w:i/>
          <w:color w:val="FDC533"/>
          <w:sz w:val="11"/>
        </w:rPr>
        <w:t xml:space="preserve">des expéditeurs inconnus ou des courriels inattendus.</w:t>
      </w:r>
      <w:r>
        <w:rPr>
          <w:rStyle w:val="CharStyle33"/>
          <w:i/>
          <w:color w:val="C8CBCC"/>
          <w:sz w:val="11"/>
        </w:rPr>
        <w:t xml:space="preserve"> </w:t>
      </w:r>
    </w:p>
    <w:p>
      <w:pPr>
        <w:pStyle w:val="Style24"/>
        <w:keepNext w:val="0"/>
        <w:keepLines w:val="0"/>
        <w:widowControl w:val="0"/>
        <w:shd w:val="clear" w:color="auto" w:fill="auto"/>
        <w:spacing w:before="0" w:after="160" w:line="173" w:lineRule="auto"/>
        <w:ind w:left="2220" w:right="1560" w:firstLine="20"/>
        <w:jc w:val="left"/>
        <w:rPr>
          <w:sz w:val="20"/>
        </w:rPr>
      </w:pPr>
      <w:r>
        <w:rPr>
          <w:rStyle w:val="CharStyle25"/>
          <w:color w:val="303030"/>
          <w:sz w:val="20"/>
        </w:rPr>
        <w:t xml:space="preserve">Et </w:t>
      </w:r>
      <w:r>
        <w:rPr>
          <w:rStyle w:val="CharStyle25"/>
          <w:color w:val="464648"/>
          <w:sz w:val="20"/>
        </w:rPr>
        <w:t xml:space="preserve">juste </w:t>
      </w:r>
      <w:r>
        <w:rPr>
          <w:rStyle w:val="CharStyle25"/>
          <w:color w:val="303030"/>
          <w:sz w:val="20"/>
        </w:rPr>
        <w:t xml:space="preserve">pour qu'il y ait de la clarté </w:t>
      </w:r>
      <w:r>
        <w:rPr>
          <w:rStyle w:val="CharStyle25"/>
          <w:color w:val="464648"/>
          <w:sz w:val="20"/>
        </w:rPr>
        <w:t xml:space="preserve">ici. </w:t>
      </w:r>
      <w:r>
        <w:rPr>
          <w:rStyle w:val="CharStyle25"/>
          <w:color w:val="303030"/>
          <w:sz w:val="20"/>
        </w:rPr>
        <w:t xml:space="preserve">Le </w:t>
      </w:r>
      <w:r>
        <w:rPr>
          <w:rStyle w:val="CharStyle25"/>
          <w:color w:val="303030"/>
          <w:sz w:val="20"/>
        </w:rPr>
        <w:t>nombre</w:t>
      </w:r>
      <w:r>
        <w:rPr>
          <w:rStyle w:val="CharStyle25"/>
          <w:color w:val="464648"/>
          <w:sz w:val="20"/>
        </w:rPr>
        <w:t xml:space="preserve">de 10 000 </w:t>
      </w:r>
      <w:r>
        <w:rPr>
          <w:rStyle w:val="CharStyle25"/>
          <w:color w:val="303030"/>
          <w:sz w:val="20"/>
        </w:rPr>
        <w:t xml:space="preserve">morts ne devrait pas être </w:t>
      </w:r>
      <w:r>
        <w:rPr>
          <w:rStyle w:val="CharStyle25"/>
          <w:sz w:val="20"/>
        </w:rPr>
        <w:t xml:space="preserve">une </w:t>
      </w:r>
      <w:r>
        <w:rPr>
          <w:rStyle w:val="CharStyle25"/>
          <w:color w:val="303030"/>
          <w:sz w:val="20"/>
        </w:rPr>
        <w:t xml:space="preserve">surprise, un choc ou </w:t>
      </w:r>
      <w:r>
        <w:rPr>
          <w:rStyle w:val="CharStyle25"/>
          <w:color w:val="464648"/>
          <w:sz w:val="20"/>
        </w:rPr>
        <w:t xml:space="preserve"> </w:t>
      </w:r>
      <w:r>
        <w:rPr>
          <w:rStyle w:val="CharStyle25"/>
          <w:color w:val="303030"/>
          <w:sz w:val="20"/>
        </w:rPr>
        <w:t xml:space="preserve">quoi que ce soit </w:t>
      </w:r>
      <w:r>
        <w:rPr>
          <w:rStyle w:val="CharStyle25"/>
          <w:sz w:val="20"/>
        </w:rPr>
        <w:t xml:space="preserve">pour les </w:t>
      </w:r>
      <w:r>
        <w:rPr>
          <w:rStyle w:val="CharStyle25"/>
          <w:color w:val="303030"/>
          <w:sz w:val="20"/>
        </w:rPr>
        <w:t xml:space="preserve">gens. C'est d'après des brouillons et des analyses que vous m'avez tous fournis que vous avez travaillé </w:t>
      </w:r>
      <w:r>
        <w:rPr>
          <w:rStyle w:val="CharStyle25"/>
          <w:color w:val="464648"/>
          <w:sz w:val="20"/>
        </w:rPr>
        <w:t xml:space="preserve">avec McKinsey. </w:t>
      </w:r>
      <w:r>
        <w:rPr>
          <w:rStyle w:val="CharStyle25"/>
          <w:color w:val="303030"/>
          <w:sz w:val="20"/>
        </w:rPr>
        <w:t xml:space="preserve">Lors de l'appel de briefing passant </w:t>
      </w:r>
      <w:r>
        <w:rPr>
          <w:rStyle w:val="CharStyle25"/>
          <w:color w:val="464648"/>
          <w:sz w:val="20"/>
        </w:rPr>
        <w:t xml:space="preserve">par ces </w:t>
      </w:r>
      <w:r>
        <w:rPr>
          <w:rStyle w:val="CharStyle25"/>
          <w:color w:val="303030"/>
          <w:sz w:val="20"/>
        </w:rPr>
        <w:t xml:space="preserve">données, </w:t>
      </w:r>
      <w:r>
        <w:rPr>
          <w:rStyle w:val="CharStyle25"/>
          <w:color w:val="464648"/>
          <w:sz w:val="20"/>
        </w:rPr>
        <w:t xml:space="preserve">il </w:t>
      </w:r>
      <w:r>
        <w:rPr>
          <w:rStyle w:val="CharStyle25"/>
          <w:color w:val="303030"/>
          <w:sz w:val="20"/>
        </w:rPr>
        <w:t xml:space="preserve">a été déclaré que nous devions utiliser </w:t>
      </w:r>
      <w:r>
        <w:rPr>
          <w:rStyle w:val="CharStyle25"/>
          <w:color w:val="464648"/>
          <w:sz w:val="20"/>
        </w:rPr>
        <w:t xml:space="preserve"> </w:t>
      </w:r>
      <w:r>
        <w:rPr>
          <w:rStyle w:val="CharStyle25"/>
          <w:color w:val="303030"/>
          <w:sz w:val="20"/>
        </w:rPr>
        <w:t xml:space="preserve">le présumé et confirmé </w:t>
      </w:r>
      <w:r>
        <w:rPr>
          <w:rStyle w:val="CharStyle25"/>
          <w:color w:val="464648"/>
          <w:sz w:val="20"/>
        </w:rPr>
        <w:t xml:space="preserve">ou </w:t>
      </w:r>
      <w:r>
        <w:rPr>
          <w:rStyle w:val="CharStyle25"/>
          <w:color w:val="303030"/>
          <w:sz w:val="20"/>
        </w:rPr>
        <w:t xml:space="preserve">la courbe ne fonctionnerait pas pour l'argument</w:t>
      </w:r>
      <w:r>
        <w:rPr>
          <w:rStyle w:val="CharStyle25"/>
          <w:color w:val="303030"/>
          <w:sz w:val="20"/>
        </w:rPr>
        <w:t>de</w:t>
      </w:r>
      <w:r>
        <w:rPr>
          <w:rStyle w:val="CharStyle25"/>
          <w:color w:val="464648"/>
          <w:sz w:val="20"/>
        </w:rPr>
        <w:t xml:space="preserve">propagation </w:t>
      </w:r>
      <w:r>
        <w:rPr>
          <w:rStyle w:val="CharStyle25"/>
          <w:color w:val="303030"/>
          <w:sz w:val="20"/>
        </w:rPr>
        <w:t xml:space="preserve">de la communauté plus large, </w:t>
      </w:r>
      <w:r>
        <w:rPr>
          <w:rStyle w:val="CharStyle25"/>
          <w:color w:val="303030"/>
          <w:sz w:val="20"/>
        </w:rPr>
        <w:t xml:space="preserve"> </w:t>
      </w:r>
      <w:r>
        <w:rPr>
          <w:rStyle w:val="CharStyle25"/>
          <w:sz w:val="20"/>
        </w:rPr>
        <w:t xml:space="preserve">étant donné que </w:t>
      </w:r>
      <w:r>
        <w:rPr>
          <w:rStyle w:val="CharStyle25"/>
          <w:color w:val="303030"/>
          <w:sz w:val="20"/>
        </w:rPr>
        <w:t xml:space="preserve">les tests étaient </w:t>
      </w:r>
      <w:r>
        <w:rPr>
          <w:rStyle w:val="CharStyle25"/>
          <w:color w:val="303030"/>
          <w:sz w:val="20"/>
        </w:rPr>
        <w:t xml:space="preserve">irréguliers </w:t>
      </w:r>
      <w:r>
        <w:rPr>
          <w:rStyle w:val="CharStyle25"/>
          <w:color w:val="303030"/>
          <w:sz w:val="20"/>
        </w:rPr>
        <w:t xml:space="preserve">au début. </w:t>
      </w:r>
      <w:r>
        <w:rPr>
          <w:rStyle w:val="CharStyle25"/>
          <w:sz w:val="20"/>
        </w:rPr>
        <w:t xml:space="preserve">Je suis </w:t>
      </w:r>
      <w:r>
        <w:rPr>
          <w:rStyle w:val="CharStyle25"/>
          <w:color w:val="303030"/>
          <w:sz w:val="20"/>
        </w:rPr>
        <w:t xml:space="preserve">heureux de supprimer </w:t>
      </w:r>
      <w:r>
        <w:rPr>
          <w:rStyle w:val="CharStyle25"/>
          <w:sz w:val="20"/>
        </w:rPr>
        <w:t xml:space="preserve">cet </w:t>
      </w:r>
      <w:r>
        <w:rPr>
          <w:rStyle w:val="CharStyle25"/>
          <w:color w:val="303030"/>
          <w:sz w:val="20"/>
        </w:rPr>
        <w:t xml:space="preserve">argument, qui est venu </w:t>
      </w:r>
      <w:r>
        <w:rPr>
          <w:rStyle w:val="CharStyle25"/>
          <w:color w:val="464648"/>
          <w:sz w:val="20"/>
        </w:rPr>
        <w:t xml:space="preserve">des gens.</w:t>
      </w:r>
    </w:p>
    <w:p>
      <w:pPr>
        <w:pStyle w:val="Style24"/>
        <w:keepNext w:val="0"/>
        <w:keepLines w:val="0"/>
        <w:widowControl w:val="0"/>
        <w:shd w:val="clear" w:color="auto" w:fill="auto"/>
        <w:spacing w:before="0" w:after="0" w:line="175" w:lineRule="auto"/>
        <w:ind w:left="2220" w:right="1560" w:firstLine="20"/>
        <w:jc w:val="left"/>
        <w:rPr>
          <w:sz w:val="20"/>
        </w:rPr>
      </w:pPr>
      <w:r>
        <w:rPr>
          <w:rStyle w:val="CharStyle25"/>
          <w:color w:val="303030"/>
          <w:sz w:val="20"/>
        </w:rPr>
        <w:t xml:space="preserve">Vous trouverez ci-dessous le graphique du deck McKinsey original </w:t>
      </w:r>
      <w:r>
        <w:rPr>
          <w:rStyle w:val="CharStyle25"/>
          <w:sz w:val="20"/>
        </w:rPr>
        <w:t xml:space="preserve">et </w:t>
      </w:r>
      <w:r>
        <w:rPr>
          <w:rStyle w:val="CharStyle25"/>
          <w:color w:val="303030"/>
          <w:sz w:val="20"/>
        </w:rPr>
        <w:t xml:space="preserve">figurait dans </w:t>
      </w:r>
      <w:r>
        <w:rPr>
          <w:rStyle w:val="CharStyle25"/>
          <w:sz w:val="20"/>
        </w:rPr>
        <w:t xml:space="preserve">le brouillon </w:t>
      </w:r>
      <w:r>
        <w:rPr>
          <w:rStyle w:val="CharStyle25"/>
          <w:color w:val="303030"/>
          <w:sz w:val="20"/>
        </w:rPr>
        <w:t xml:space="preserve">original </w:t>
      </w:r>
      <w:r>
        <w:rPr>
          <w:rStyle w:val="CharStyle25"/>
          <w:sz w:val="20"/>
        </w:rPr>
        <w:t xml:space="preserve"> </w:t>
      </w:r>
      <w:r>
        <w:rPr>
          <w:rStyle w:val="CharStyle25"/>
          <w:color w:val="303030"/>
          <w:sz w:val="20"/>
        </w:rPr>
        <w:t xml:space="preserve">fourni par NYSDOH.</w:t>
      </w:r>
    </w:p>
    <w:p>
      <w:pPr>
        <w:pStyle w:val="Style32"/>
        <w:keepNext w:val="0"/>
        <w:keepLines w:val="0"/>
        <w:widowControl w:val="0"/>
        <w:shd w:val="clear" w:color="auto" w:fill="auto"/>
        <w:spacing w:before="0" w:after="280" w:line="240" w:lineRule="auto"/>
        <w:ind w:left="2220" w:right="0" w:firstLine="20"/>
        <w:jc w:val="left"/>
      </w:pPr>
      <w:r>
        <w:rPr>
          <w:rStyle w:val="CharStyle33"/>
          <w:color w:val="464648"/>
        </w:rPr>
        <w:t>&lt;image001.png.secure&gt;</w:t>
      </w:r>
    </w:p>
    <w:p>
      <w:pPr>
        <w:pStyle w:val="Style24"/>
        <w:keepNext w:val="0"/>
        <w:keepLines w:val="0"/>
        <w:widowControl w:val="0"/>
        <w:shd w:val="clear" w:color="auto" w:fill="auto"/>
        <w:tabs>
          <w:tab w:pos="4426" w:val="left"/>
        </w:tabs>
        <w:spacing w:before="0" w:after="160" w:line="175" w:lineRule="auto"/>
        <w:ind w:left="0" w:right="0" w:firstLine="0"/>
        <w:jc w:val="center"/>
        <w:rPr>
          <w:sz w:val="20"/>
        </w:rPr>
      </w:pPr>
      <w:r>
        <w:rPr>
          <w:rStyle w:val="CharStyle25"/>
          <w:color w:val="303030"/>
          <w:sz w:val="20"/>
        </w:rPr>
        <w:t xml:space="preserve">Le 27/06/20,10:13,</w:t>
        <w:tab/>
        <w:t xml:space="preserve">a écrit:</w:t>
      </w:r>
    </w:p>
    <w:p>
      <w:pPr>
        <w:pStyle w:val="Style24"/>
        <w:keepNext w:val="0"/>
        <w:keepLines w:val="0"/>
        <w:widowControl w:val="0"/>
        <w:shd w:val="clear" w:color="auto" w:fill="auto"/>
        <w:spacing w:before="0" w:after="0" w:line="175" w:lineRule="auto"/>
        <w:ind w:left="2340" w:right="0" w:firstLine="0"/>
        <w:jc w:val="left"/>
        <w:rPr>
          <w:sz w:val="20"/>
        </w:rPr>
      </w:pPr>
      <w:r>
        <w:rPr>
          <w:rStyle w:val="CharStyle25"/>
          <w:color w:val="303030"/>
          <w:sz w:val="20"/>
        </w:rPr>
        <w:t xml:space="preserve">Privilégié </w:t>
      </w:r>
      <w:r>
        <w:rPr>
          <w:rStyle w:val="CharStyle25"/>
          <w:sz w:val="20"/>
        </w:rPr>
        <w:t xml:space="preserve">et confidentiel</w:t>
      </w:r>
    </w:p>
    <w:p>
      <w:pPr>
        <w:pStyle w:val="Style24"/>
        <w:keepNext w:val="0"/>
        <w:keepLines w:val="0"/>
        <w:widowControl w:val="0"/>
        <w:shd w:val="clear" w:color="auto" w:fill="auto"/>
        <w:spacing w:before="0" w:after="160" w:line="175" w:lineRule="auto"/>
        <w:ind w:left="2340" w:right="0" w:firstLine="0"/>
        <w:jc w:val="left"/>
        <w:rPr>
          <w:sz w:val="20"/>
        </w:rPr>
      </w:pPr>
      <w:r>
        <w:rPr>
          <w:rStyle w:val="CharStyle25"/>
          <w:color w:val="303030"/>
          <w:sz w:val="20"/>
        </w:rPr>
        <w:t xml:space="preserve">Produit Attorney Work</w:t>
      </w:r>
    </w:p>
    <w:p>
      <w:pPr>
        <w:pStyle w:val="Style24"/>
        <w:keepNext w:val="0"/>
        <w:keepLines w:val="0"/>
        <w:widowControl w:val="0"/>
        <w:shd w:val="clear" w:color="auto" w:fill="auto"/>
        <w:spacing w:before="0" w:after="160" w:line="175" w:lineRule="auto"/>
        <w:ind w:left="2340" w:right="0" w:firstLine="0"/>
        <w:jc w:val="left"/>
        <w:rPr>
          <w:sz w:val="20"/>
        </w:rPr>
      </w:pPr>
      <w:r>
        <w:rPr>
          <w:rStyle w:val="CharStyle25"/>
          <w:color w:val="303030"/>
          <w:sz w:val="20"/>
        </w:rPr>
        <w:t xml:space="preserve">Je reçois plus d'informations, mais voici ce que je sais jusqu'à présent:</w:t>
      </w:r>
    </w:p>
    <w:p>
      <w:pPr>
        <w:pStyle w:val="Style24"/>
        <w:keepNext w:val="0"/>
        <w:keepLines w:val="0"/>
        <w:widowControl w:val="0"/>
        <w:numPr>
          <w:ilvl w:val="0"/>
          <w:numId w:val="23"/>
        </w:numPr>
        <w:shd w:val="clear" w:color="auto" w:fill="auto"/>
        <w:tabs>
          <w:tab w:pos="2595" w:val="left"/>
        </w:tabs>
        <w:spacing w:before="0" w:after="160" w:line="170" w:lineRule="auto"/>
        <w:ind w:left="2220" w:right="0" w:firstLine="140"/>
        <w:jc w:val="left"/>
        <w:rPr>
          <w:sz w:val="20"/>
        </w:rPr>
      </w:pPr>
      <w:r>
        <w:rPr>
          <w:rStyle w:val="CharStyle25"/>
          <w:color w:val="303030"/>
          <w:sz w:val="20"/>
        </w:rPr>
        <w:t xml:space="preserve">sur les admissions Re, nous avons dit à doh </w:t>
      </w:r>
      <w:r>
        <w:rPr>
          <w:rStyle w:val="CharStyle25"/>
          <w:sz w:val="20"/>
        </w:rPr>
        <w:t xml:space="preserve">d'obtenir </w:t>
      </w:r>
      <w:r>
        <w:rPr>
          <w:rStyle w:val="CharStyle25"/>
          <w:color w:val="303030"/>
          <w:sz w:val="20"/>
        </w:rPr>
        <w:t xml:space="preserve">les données pour environ 113 NH qui n'avaient pas répondu à l'enquête. (J'ai effacé avec vous MDR à l'époque). Au lieu de faire cela, le DOH a rouvert l'enquête pendant deux jours à TOUTES les maisons. Nous obtenons qui a répondu ou répondu.</w:t>
      </w:r>
    </w:p>
    <w:p>
      <w:pPr>
        <w:pStyle w:val="Style24"/>
        <w:keepNext w:val="0"/>
        <w:keepLines w:val="0"/>
        <w:widowControl w:val="0"/>
        <w:numPr>
          <w:ilvl w:val="0"/>
          <w:numId w:val="23"/>
        </w:numPr>
        <w:shd w:val="clear" w:color="auto" w:fill="auto"/>
        <w:tabs>
          <w:tab w:pos="2586" w:val="left"/>
        </w:tabs>
        <w:spacing w:before="0" w:after="160" w:line="180" w:lineRule="auto"/>
        <w:ind w:left="2220" w:right="0" w:firstLine="140"/>
        <w:jc w:val="left"/>
        <w:rPr>
          <w:sz w:val="20"/>
        </w:rPr>
      </w:pPr>
      <w:r>
        <w:rPr>
          <w:rStyle w:val="CharStyle25"/>
          <w:color w:val="303030"/>
          <w:sz w:val="20"/>
        </w:rPr>
        <w:t xml:space="preserve">ce rapport proposé comprend le nombre de résidents de NH décédés dans les hôpitaux. Ce numéro n'est pas public. Au lieu de 6 500 morts, il montrerait 10 000 morts.</w:t>
      </w:r>
    </w:p>
    <w:p>
      <w:pPr>
        <w:pStyle w:val="Style24"/>
        <w:keepNext w:val="0"/>
        <w:keepLines w:val="0"/>
        <w:widowControl w:val="0"/>
        <w:numPr>
          <w:ilvl w:val="0"/>
          <w:numId w:val="23"/>
        </w:numPr>
        <w:shd w:val="clear" w:color="auto" w:fill="auto"/>
        <w:tabs>
          <w:tab w:pos="2586" w:val="left"/>
        </w:tabs>
        <w:spacing w:before="0" w:after="160" w:line="175" w:lineRule="auto"/>
        <w:ind w:left="2220" w:right="0" w:firstLine="140"/>
        <w:jc w:val="left"/>
        <w:rPr>
          <w:sz w:val="20"/>
        </w:rPr>
      </w:pPr>
      <w:r>
        <w:rPr>
          <w:rStyle w:val="CharStyle25"/>
          <w:color w:val="303030"/>
          <w:sz w:val="20"/>
        </w:rPr>
        <w:t xml:space="preserve">Apparemment, le dernier projet (je n'ai pas encore vu) indique 30% d'anticorps chez le personnel selon Bioreference. Nous devons nous assurer que c'est réel, robuste et défendable. DOH n'a pas mis cela et ne sait rien à ce sujet.</w:t>
      </w:r>
    </w:p>
    <w:p>
      <w:pPr>
        <w:pStyle w:val="Style24"/>
        <w:keepNext w:val="0"/>
        <w:keepLines w:val="0"/>
        <w:widowControl w:val="0"/>
        <w:numPr>
          <w:ilvl w:val="0"/>
          <w:numId w:val="23"/>
        </w:numPr>
        <w:shd w:val="clear" w:color="auto" w:fill="auto"/>
        <w:tabs>
          <w:tab w:pos="2581" w:val="left"/>
        </w:tabs>
        <w:spacing w:before="0" w:after="160" w:line="175" w:lineRule="auto"/>
        <w:ind w:left="2220" w:right="0" w:firstLine="140"/>
        <w:jc w:val="left"/>
        <w:rPr>
          <w:sz w:val="20"/>
        </w:rPr>
      </w:pPr>
      <w:r>
        <w:rPr>
          <w:rStyle w:val="CharStyle25"/>
          <w:color w:val="303030"/>
          <w:sz w:val="20"/>
        </w:rPr>
        <w:t xml:space="preserve">"Causation" </w:t>
      </w:r>
      <w:r>
        <w:rPr>
          <w:rStyle w:val="CharStyle25"/>
          <w:sz w:val="20"/>
        </w:rPr>
        <w:t xml:space="preserve">et </w:t>
      </w:r>
      <w:r>
        <w:rPr>
          <w:rStyle w:val="CharStyle25"/>
          <w:color w:val="303030"/>
          <w:sz w:val="20"/>
        </w:rPr>
        <w:t xml:space="preserve">"cause" </w:t>
      </w:r>
      <w:r>
        <w:rPr>
          <w:rStyle w:val="CharStyle25"/>
          <w:sz w:val="20"/>
        </w:rPr>
        <w:t xml:space="preserve">sont des </w:t>
      </w:r>
      <w:r>
        <w:rPr>
          <w:rStyle w:val="CharStyle25"/>
          <w:color w:val="303030"/>
          <w:sz w:val="20"/>
        </w:rPr>
        <w:t xml:space="preserve">termes </w:t>
      </w:r>
      <w:r>
        <w:rPr>
          <w:rStyle w:val="CharStyle25"/>
          <w:sz w:val="20"/>
        </w:rPr>
        <w:t xml:space="preserve">de sens </w:t>
      </w:r>
      <w:r>
        <w:rPr>
          <w:rStyle w:val="CharStyle25"/>
          <w:color w:val="303030"/>
          <w:sz w:val="20"/>
        </w:rPr>
        <w:t xml:space="preserve">artistique prouvés par les </w:t>
      </w:r>
      <w:r>
        <w:rPr>
          <w:rStyle w:val="CharStyle25"/>
          <w:sz w:val="20"/>
        </w:rPr>
        <w:t xml:space="preserve">données. Les derniers </w:t>
      </w:r>
      <w:r>
        <w:rPr>
          <w:rStyle w:val="CharStyle25"/>
          <w:color w:val="303030"/>
          <w:sz w:val="20"/>
        </w:rPr>
        <w:t xml:space="preserve">brouillons utilisent ces termes de manière incorrecte et nous serions moqués. Nécessite des modifications.</w:t>
      </w:r>
    </w:p>
    <w:p>
      <w:pPr>
        <w:pStyle w:val="Style24"/>
        <w:keepNext w:val="0"/>
        <w:keepLines w:val="0"/>
        <w:widowControl w:val="0"/>
        <w:numPr>
          <w:ilvl w:val="0"/>
          <w:numId w:val="23"/>
        </w:numPr>
        <w:shd w:val="clear" w:color="auto" w:fill="auto"/>
        <w:tabs>
          <w:tab w:pos="2571" w:val="left"/>
        </w:tabs>
        <w:spacing w:before="0" w:after="280" w:line="175" w:lineRule="auto"/>
        <w:ind w:left="2340" w:right="0" w:firstLine="0"/>
        <w:jc w:val="left"/>
        <w:rPr>
          <w:sz w:val="20"/>
        </w:rPr>
      </w:pPr>
      <w:r>
        <w:rPr>
          <w:rStyle w:val="CharStyle25"/>
          <w:color w:val="303030"/>
          <w:sz w:val="20"/>
        </w:rPr>
        <w:t xml:space="preserve">Si le personnel était malade, cela soulève des questions sur la </w:t>
      </w:r>
      <w:r>
        <w:rPr>
          <w:rStyle w:val="CharStyle25"/>
          <w:sz w:val="20"/>
        </w:rPr>
        <w:t xml:space="preserve"> </w:t>
      </w:r>
      <w:r>
        <w:rPr>
          <w:rStyle w:val="CharStyle25"/>
          <w:color w:val="303030"/>
          <w:sz w:val="20"/>
        </w:rPr>
        <w:t xml:space="preserve">fourniture d'EPI </w:t>
      </w:r>
      <w:r>
        <w:rPr>
          <w:rStyle w:val="CharStyle25"/>
          <w:sz w:val="20"/>
        </w:rPr>
        <w:t xml:space="preserve"> </w:t>
      </w:r>
      <w:r>
        <w:rPr>
          <w:rStyle w:val="CharStyle25"/>
          <w:color w:val="303030"/>
          <w:sz w:val="20"/>
        </w:rPr>
        <w:t xml:space="preserve">aux maisons de retraite. </w:t>
      </w:r>
      <w:r>
        <w:rPr>
          <w:rStyle w:val="CharStyle25"/>
          <w:sz w:val="20"/>
        </w:rPr>
        <w:t xml:space="preserve">Nous avons </w:t>
      </w:r>
      <w:r>
        <w:rPr>
          <w:rStyle w:val="CharStyle25"/>
          <w:color w:val="303030"/>
          <w:sz w:val="20"/>
        </w:rPr>
        <w:t xml:space="preserve">fait quelques grands</w:t>
      </w:r>
    </w:p>
    <w:p>
      <w:pPr>
        <w:pStyle w:val="Style57"/>
        <w:keepNext w:val="0"/>
        <w:keepLines w:val="0"/>
        <w:widowControl w:val="0"/>
        <w:shd w:val="clear" w:color="auto" w:fill="auto"/>
        <w:spacing w:before="0" w:after="960" w:line="240" w:lineRule="auto"/>
        <w:ind w:left="0" w:right="0" w:firstLine="0"/>
        <w:jc w:val="center"/>
      </w:pPr>
      <w:r>
        <w:rPr>
          <w:rStyle w:val="CharStyle58"/>
          <w:b/>
          <w:color w:val="000000"/>
        </w:rPr>
        <w:t>Page</w:t>
      </w:r>
    </w:p>
    <w:p>
      <w:pPr>
        <w:pStyle w:val="Style24"/>
        <w:keepNext w:val="0"/>
        <w:keepLines w:val="0"/>
        <w:widowControl w:val="0"/>
        <w:shd w:val="clear" w:color="auto" w:fill="auto"/>
        <w:spacing w:before="0" w:line="175" w:lineRule="auto"/>
        <w:ind w:left="2220" w:right="0" w:firstLine="20"/>
        <w:jc w:val="left"/>
      </w:pPr>
      <w:r>
        <w:rPr>
          <w:rStyle w:val="CharStyle25"/>
          <w:color w:val="464648"/>
          <w:sz w:val="20"/>
        </w:rPr>
        <w:t xml:space="preserve">dispositions, mais apparemment, </w:t>
      </w:r>
      <w:r>
        <w:rPr>
          <w:rStyle w:val="CharStyle25"/>
          <w:color w:val="303030"/>
          <w:sz w:val="20"/>
        </w:rPr>
        <w:t>nous</w:t>
      </w:r>
      <w:r>
        <w:rPr>
          <w:rStyle w:val="CharStyle25"/>
          <w:color w:val="464648"/>
          <w:sz w:val="20"/>
        </w:rPr>
        <w:t xml:space="preserve">n'avons </w:t>
      </w:r>
      <w:r>
        <w:rPr>
          <w:rStyle w:val="CharStyle25"/>
          <w:color w:val="303030"/>
          <w:sz w:val="20"/>
        </w:rPr>
        <w:t xml:space="preserve">jamais donné la priorité aux NH pour cela et ne le faisons TOUJOURS pas. C'est </w:t>
      </w:r>
      <w:r>
        <w:rPr>
          <w:rStyle w:val="CharStyle25"/>
          <w:color w:val="838481"/>
          <w:sz w:val="20"/>
        </w:rPr>
        <w:t xml:space="preserve"> </w:t>
      </w:r>
      <w:r>
        <w:rPr>
          <w:rStyle w:val="CharStyle25"/>
          <w:color w:val="464648"/>
          <w:sz w:val="20"/>
        </w:rPr>
        <w:t xml:space="preserve">problématique. J'ajoute Larry </w:t>
      </w:r>
      <w:r>
        <w:rPr>
          <w:rStyle w:val="CharStyle25"/>
          <w:color w:val="303030"/>
          <w:sz w:val="20"/>
        </w:rPr>
        <w:t xml:space="preserve">sur </w:t>
      </w:r>
      <w:r>
        <w:rPr>
          <w:rStyle w:val="CharStyle25"/>
          <w:color w:val="464648"/>
          <w:sz w:val="20"/>
        </w:rPr>
        <w:t xml:space="preserve">cette question. </w:t>
      </w:r>
      <w:r>
        <w:rPr>
          <w:rStyle w:val="CharStyle25"/>
          <w:color w:val="303030"/>
          <w:sz w:val="20"/>
        </w:rPr>
        <w:t xml:space="preserve">On </w:t>
      </w:r>
      <w:r>
        <w:rPr>
          <w:rStyle w:val="CharStyle25"/>
          <w:color w:val="464648"/>
          <w:sz w:val="20"/>
        </w:rPr>
        <w:t xml:space="preserve">doit </w:t>
      </w:r>
      <w:r>
        <w:rPr>
          <w:rStyle w:val="CharStyle25"/>
          <w:color w:val="464648"/>
          <w:sz w:val="20"/>
        </w:rPr>
        <w:t>arranger</w:t>
      </w:r>
      <w:r>
        <w:rPr>
          <w:rStyle w:val="CharStyle25"/>
          <w:color w:val="303030"/>
          <w:sz w:val="20"/>
        </w:rPr>
        <w:t xml:space="preserve"> </w:t>
      </w:r>
      <w:r>
        <w:rPr>
          <w:rStyle w:val="CharStyle25"/>
          <w:color w:val="464648"/>
          <w:sz w:val="20"/>
        </w:rPr>
        <w:t xml:space="preserve">ça. </w:t>
      </w:r>
      <w:r>
        <w:rPr>
          <w:rStyle w:val="CharStyle25"/>
          <w:color w:val="303030"/>
          <w:sz w:val="20"/>
        </w:rPr>
        <w:t xml:space="preserve">Megan a </w:t>
      </w:r>
      <w:r>
        <w:rPr>
          <w:rStyle w:val="CharStyle25"/>
          <w:color w:val="464648"/>
          <w:sz w:val="20"/>
        </w:rPr>
        <w:t xml:space="preserve">des détails. </w:t>
      </w:r>
      <w:r>
        <w:rPr>
          <w:rStyle w:val="CharStyle25"/>
        </w:rPr>
        <w:t xml:space="preserve">position selon laquelle un litige concernant la distribution d'EPI aux maisons de soins infirmiers se produisait ou était prévu en juin 2020.</w:t>
      </w:r>
    </w:p>
    <w:p>
      <w:pPr>
        <w:pStyle w:val="Style24"/>
        <w:keepNext w:val="0"/>
        <w:keepLines w:val="0"/>
        <w:widowControl w:val="0"/>
        <w:shd w:val="clear" w:color="auto" w:fill="auto"/>
        <w:spacing w:before="0"/>
        <w:ind w:left="0" w:right="0" w:firstLine="0"/>
        <w:jc w:val="left"/>
      </w:pPr>
      <w:r>
        <w:rPr>
          <w:rStyle w:val="CharStyle25"/>
        </w:rPr>
        <w:t xml:space="preserve">Le sous-comité restreint avait un accès limité à d'autres communications réactives</w:t>
      </w:r>
    </w:p>
    <w:p>
      <w:pPr>
        <w:pStyle w:val="Style24"/>
        <w:keepNext w:val="0"/>
        <w:keepLines w:val="0"/>
        <w:widowControl w:val="0"/>
        <w:shd w:val="clear" w:color="auto" w:fill="auto"/>
        <w:spacing w:before="0"/>
        <w:ind w:left="0" w:right="0" w:firstLine="740"/>
        <w:jc w:val="left"/>
      </w:pPr>
      <w:r>
        <w:rPr>
          <w:rStyle w:val="CharStyle25"/>
        </w:rPr>
        <w:t xml:space="preserve">Au cours d'une entrevue transcrite, Mme Lacewell a témoigné que les employés de la Chambre de la haute direction communiquaient par divers moyens, y compris des messages texte et des messages NIP BlackBerry.</w:t>
        <w:footnoteReference w:id="456"/>
        <w:t xml:space="preserve"> De même, M. Cuomo a témoigné avoir utilisé la messagerie NIP BlackBerry pour communiquer avec le personnel et mener des activités officielles.</w:t>
        <w:footnoteReference w:id="457"/>
        <w:t xml:space="preserve"> En outre, Mme DeRosa a témoigné que l’ancien gouverneur n’avait pas de compte de courrier électronique officiel et que la messagerie BlackBerry PIN était généralement la façon dont elle communiquait avec lui.</w:t>
        <w:footnoteReference w:id="458"/>
      </w:r>
    </w:p>
    <w:p>
      <w:pPr>
        <w:pStyle w:val="Style24"/>
        <w:keepNext w:val="0"/>
        <w:keepLines w:val="0"/>
        <w:widowControl w:val="0"/>
        <w:shd w:val="clear" w:color="auto" w:fill="auto"/>
        <w:spacing w:before="0"/>
        <w:ind w:left="0" w:right="0" w:firstLine="740"/>
        <w:jc w:val="left"/>
      </w:pPr>
      <w:r>
        <w:rPr>
          <w:rStyle w:val="CharStyle25"/>
        </w:rPr>
        <w:t xml:space="preserve">Depuis que le sous-comité restreint a émis l’assignation à comparaître, la chambre exécutive a produit certains messages PIN BlackBerry, bien que la quasi-totalité d’entre eux datent d’une période de deux mois en 2021 et ne répondent sans doute pas à l’enquête du sous-comité restreint.</w:t>
        <w:footnoteReference w:id="459"/>
        <w:t xml:space="preserve"> Interrogé sur l’apparente divergence et l’absence de matériel réactif, le conseil de la chambre exécutive a déclaré: «[n]ous travaillions avec l’univers des documents dont nous disposions et n’avons pas limité la date».</w:t>
        <w:footnoteReference w:id="460"/>
        <w:t xml:space="preserve"> L’absence de preuves a entravé l’enquête du sous-comité restreint.</w:t>
      </w:r>
    </w:p>
    <w:p>
      <w:pPr>
        <w:pStyle w:val="Style24"/>
        <w:keepNext w:val="0"/>
        <w:keepLines w:val="0"/>
        <w:widowControl w:val="0"/>
        <w:shd w:val="clear" w:color="auto" w:fill="auto"/>
        <w:spacing w:before="0"/>
        <w:ind w:left="0" w:right="0" w:firstLine="740"/>
        <w:jc w:val="left"/>
      </w:pPr>
      <w:r>
        <w:rPr>
          <w:rStyle w:val="CharStyle25"/>
        </w:rPr>
        <w:t xml:space="preserve">En outre, la Chambre exécutive a complètement retenu certains documents pertinents nécessaires pour éclairer l'action législative. Par exemple, le sous-comité restreint souhaite vivement comprendre les décisions qui ont conduit à la publication de la directive du 25 mars, y compris les documents étayant les allégations selon lesquelles il a suivi les orientations fédérales applicables. Cela commence par comprendre qui a participé à l'élaboration, à la rédaction et à la publication de la directive du 25 mars. Par conséquent, la lettre du 6 novembre demandait à la chambre exécutive de produire « [t]ous les documents et communications concernant ou se rapportant à l’avis du NYSDOH du 25 mars 2020 intitulé : Décharges d’hôpitaux et admissions dans des maisons de soins infirmiers.»</w:t>
        <w:footnoteReference w:id="461"/>
      </w:r>
    </w:p>
    <w:p>
      <w:pPr>
        <w:pStyle w:val="Style24"/>
        <w:keepNext w:val="0"/>
        <w:keepLines w:val="0"/>
        <w:widowControl w:val="0"/>
        <w:shd w:val="clear" w:color="auto" w:fill="auto"/>
        <w:spacing w:before="0" w:line="264" w:lineRule="auto"/>
        <w:ind w:left="0" w:right="0" w:firstLine="740"/>
        <w:jc w:val="left"/>
      </w:pPr>
      <w:r>
        <w:rPr>
          <w:rStyle w:val="CharStyle25"/>
        </w:rPr>
        <w:t xml:space="preserve">Le seul autre courriel du 25 mars 2020, produit par la Chambre exécutive, est l'émission de l'ordonnance.</w:t>
        <w:footnoteReference w:id="462"/>
        <w:t xml:space="preserve"> Le courriel – qui a joint l’ordonnance – est limité aux éléments suivants:</w:t>
      </w:r>
      <w:r>
        <w:br w:type="page"/>
      </w:r>
    </w:p>
    <w:p>
      <w:pPr>
        <w:pStyle w:val="Style36"/>
        <w:keepNext w:val="0"/>
        <w:keepLines w:val="0"/>
        <w:widowControl w:val="0"/>
        <w:shd w:val="clear" w:color="auto" w:fill="auto"/>
        <w:spacing w:before="0" w:after="60" w:line="240" w:lineRule="auto"/>
        <w:ind w:left="0" w:right="0" w:firstLine="220"/>
        <w:jc w:val="left"/>
      </w:pPr>
      <w:r>
        <mc:AlternateContent>
          <mc:Choice Requires="wps">
            <w:drawing>
              <wp:anchor distT="0" distB="0" distL="114300" distR="114300" simplePos="0" relativeHeight="125829482" behindDoc="0" locked="0" layoutInCell="1" allowOverlap="1">
                <wp:simplePos x="0" y="0"/>
                <wp:positionH relativeFrom="page">
                  <wp:posOffset>1085850</wp:posOffset>
                </wp:positionH>
                <wp:positionV relativeFrom="margin">
                  <wp:posOffset>33655</wp:posOffset>
                </wp:positionV>
                <wp:extent cx="469265" cy="890270"/>
                <wp:wrapSquare wrapText="right"/>
                <wp:docPr id="241" name="Forme 241"/>
                <a:graphic xmlns:a="http://schemas.openxmlformats.org/drawingml/2006/main">
                  <a:graphicData uri="http://schemas.microsoft.com/office/word/2010/wordprocessingShape">
                    <wps:wsp>
                      <wps:cNvSpPr txBox="1"/>
                      <wps:spPr>
                        <a:xfrm>
                          <a:ext cx="469265" cy="890270"/>
                        </a:xfrm>
                        <a:prstGeom prst="rect"/>
                        <a:noFill/>
                      </wps:spPr>
                      <wps:txbx>
                        <w:txbxContent>
                          <w:p>
                            <w:pPr>
                              <w:pStyle w:val="Style24"/>
                              <w:keepNext w:val="0"/>
                              <w:keepLines w:val="0"/>
                              <w:widowControl w:val="0"/>
                              <w:shd w:val="clear" w:color="auto" w:fill="auto"/>
                              <w:spacing w:before="0" w:after="0" w:line="240" w:lineRule="auto"/>
                              <w:ind w:left="0" w:right="0" w:firstLine="0"/>
                              <w:jc w:val="left"/>
                            </w:pPr>
                            <w:r>
                              <w:rPr>
                                <w:rStyle w:val="CharStyle25"/>
                                <w:color w:val="303030"/>
                              </w:rPr>
                              <w:t xml:space="preserve">Date :</w:t>
                            </w:r>
                          </w:p>
                          <w:p>
                            <w:pPr>
                              <w:pStyle w:val="Style24"/>
                              <w:keepNext w:val="0"/>
                              <w:keepLines w:val="0"/>
                              <w:widowControl w:val="0"/>
                              <w:shd w:val="clear" w:color="auto" w:fill="auto"/>
                              <w:spacing w:before="0" w:after="80" w:line="240" w:lineRule="auto"/>
                              <w:ind w:left="0" w:right="0" w:firstLine="0"/>
                              <w:jc w:val="left"/>
                            </w:pPr>
                            <w:r>
                              <w:rPr>
                                <w:rStyle w:val="CharStyle25"/>
                                <w:color w:val="303030"/>
                              </w:rPr>
                              <w:t xml:space="preserve">Objet: À partir de: </w:t>
                            </w:r>
                            <w:r>
                              <w:rPr>
                                <w:rStyle w:val="CharStyle25"/>
                              </w:rPr>
                              <w:t xml:space="preserve">À l'attention de:</w:t>
                            </w:r>
                          </w:p>
                          <w:p>
                            <w:pPr>
                              <w:pStyle w:val="Style24"/>
                              <w:keepNext w:val="0"/>
                              <w:keepLines w:val="0"/>
                              <w:widowControl w:val="0"/>
                              <w:shd w:val="clear" w:color="auto" w:fill="auto"/>
                              <w:spacing w:before="0" w:after="40" w:line="240" w:lineRule="auto"/>
                              <w:ind w:left="0" w:right="0" w:firstLine="0"/>
                              <w:jc w:val="left"/>
                            </w:pPr>
                            <w:r>
                              <w:rPr>
                                <w:rStyle w:val="CharStyle25"/>
                                <w:color w:val="303030"/>
                              </w:rPr>
                              <w:t xml:space="preserve">CC :</w:t>
                            </w:r>
                          </w:p>
                        </w:txbxContent>
                      </wps:txbx>
                      <wps:bodyPr lIns="0" tIns="0" rIns="0" bIns="0">
                        <a:noAutoFit/>
                      </wps:bodyPr>
                    </wps:wsp>
                  </a:graphicData>
                </a:graphic>
              </wp:anchor>
            </w:drawing>
          </mc:Choice>
        </mc:AlternateContent>
      </w:r>
      <w:r>
        <w:rPr>
          <w:rStyle w:val="CharStyle37"/>
          <w:color w:val="464648"/>
        </w:rPr>
        <w:t xml:space="preserve">Mercredi 25 mars 2020 14:36</w:t>
      </w:r>
    </w:p>
    <w:p>
      <w:pPr>
        <w:pStyle w:val="Style36"/>
        <w:keepNext w:val="0"/>
        <w:keepLines w:val="0"/>
        <w:widowControl w:val="0"/>
        <w:shd w:val="clear" w:color="auto" w:fill="auto"/>
        <w:spacing w:before="0" w:after="60" w:line="240" w:lineRule="auto"/>
        <w:ind w:left="0" w:right="0" w:firstLine="220"/>
        <w:jc w:val="left"/>
      </w:pPr>
      <w:r>
        <w:rPr>
          <w:rStyle w:val="CharStyle37"/>
          <w:color w:val="464648"/>
        </w:rPr>
        <w:t xml:space="preserve">Approuvé. DOH Advisory on Hospital Discharges and Admissions to Nursing Homes</w:t>
      </w:r>
    </w:p>
    <w:p>
      <w:pPr>
        <w:pStyle w:val="Style36"/>
        <w:keepNext w:val="0"/>
        <w:keepLines w:val="0"/>
        <w:widowControl w:val="0"/>
        <w:shd w:val="clear" w:color="auto" w:fill="auto"/>
        <w:spacing w:before="0" w:after="0" w:line="240" w:lineRule="auto"/>
        <w:ind w:left="0" w:right="0" w:firstLine="220"/>
        <w:jc w:val="left"/>
      </w:pPr>
      <w:r>
        <w:rPr>
          <w:rStyle w:val="CharStyle37"/>
          <w:color w:val="464648"/>
        </w:rPr>
        <w:t xml:space="preserve">Popcun, Joseph [DOS</w:t>
      </w:r>
      <w:r>
        <w:rPr>
          <w:rStyle w:val="CharStyle37"/>
          <w:color w:val="000000"/>
        </w:rPr>
        <w:t>I</w:t>
      </w:r>
    </w:p>
    <w:p>
      <w:pPr>
        <w:pStyle w:val="Style36"/>
        <w:keepNext w:val="0"/>
        <w:keepLines w:val="0"/>
        <w:widowControl w:val="0"/>
        <w:shd w:val="clear" w:color="auto" w:fill="auto"/>
        <w:spacing w:before="0" w:after="0" w:line="240" w:lineRule="auto"/>
        <w:ind w:left="220" w:right="0" w:firstLine="20"/>
        <w:jc w:val="left"/>
        <w:rPr>
          <w:sz w:val="20"/>
        </w:rPr>
      </w:pPr>
      <w:r>
        <w:rPr>
          <w:rStyle w:val="CharStyle37"/>
          <w:color w:val="464648"/>
        </w:rPr>
        <w:t xml:space="preserve">#Covid19 </w:t>
      </w:r>
      <w:r>
        <w:rPr>
          <w:rStyle w:val="CharStyle37"/>
          <w:rFonts w:ascii="Times New Roman" w:hAnsi="Times New Roman" w:cs="Times New Roman" w:eastAsia="Times New Roman"/>
          <w:color w:val="000000"/>
          <w:sz w:val="20"/>
          <w:u w:val="single"/>
        </w:rPr>
        <w:t xml:space="preserve">Ml </w:t>
      </w:r>
      <w:r>
        <w:rPr>
          <w:rStyle w:val="CharStyle37"/>
          <w:color w:val="464648"/>
        </w:rPr>
        <w:t xml:space="preserve">Beth Ga</w:t>
      </w:r>
      <w:r>
        <w:rPr>
          <w:rStyle w:val="CharStyle37"/>
          <w:color w:val="464648"/>
          <w:u w:val="single"/>
        </w:rPr>
        <w:t xml:space="preserve">rvey </w:t>
      </w:r>
      <w:r>
        <w:rPr>
          <w:rStyle w:val="CharStyle37"/>
          <w:color w:val="000000"/>
          <w:u w:val="single"/>
        </w:rPr>
        <w:t xml:space="preserve">*| </w:t>
      </w:r>
      <w:r>
        <w:rPr>
          <w:rStyle w:val="CharStyle37"/>
          <w:color w:val="464648"/>
        </w:rPr>
        <w:t xml:space="preserve">Kiernan </w:t>
      </w:r>
      <w:r>
        <w:rPr>
          <w:rStyle w:val="CharStyle37"/>
          <w:rFonts w:ascii="Times New Roman" w:hAnsi="Times New Roman" w:cs="Times New Roman" w:eastAsia="Times New Roman"/>
          <w:color w:val="000000"/>
          <w:sz w:val="20"/>
        </w:rPr>
        <w:t>MB</w:t>
      </w:r>
    </w:p>
    <w:p>
      <w:pPr>
        <w:pStyle w:val="Style36"/>
        <w:keepNext w:val="0"/>
        <w:keepLines w:val="0"/>
        <w:widowControl w:val="0"/>
        <w:pBdr>
          <w:bottom w:val="single" w:sz="4" w:space="0" w:color="auto"/>
        </w:pBdr>
        <w:shd w:val="clear" w:color="auto" w:fill="auto"/>
        <w:spacing w:before="0" w:after="160" w:line="240" w:lineRule="auto"/>
        <w:ind w:left="0" w:right="0" w:firstLine="220"/>
        <w:jc w:val="left"/>
      </w:pPr>
      <w:r>
        <w:drawing>
          <wp:anchor distT="0" distB="0" distL="827405" distR="114300" simplePos="0" relativeHeight="125829484" behindDoc="0" locked="0" layoutInCell="1" allowOverlap="1">
            <wp:simplePos x="0" y="0"/>
            <wp:positionH relativeFrom="page">
              <wp:posOffset>4234180</wp:posOffset>
            </wp:positionH>
            <wp:positionV relativeFrom="margin">
              <wp:posOffset>664210</wp:posOffset>
            </wp:positionV>
            <wp:extent cx="2286000" cy="323215"/>
            <wp:wrapSquare wrapText="left"/>
            <wp:docPr id="243" name="Forme 243"/>
            <a:graphic xmlns:a="http://schemas.openxmlformats.org/drawingml/2006/main">
              <a:graphicData uri="http://schemas.openxmlformats.org/drawingml/2006/picture">
                <pic:pic xmlns:pic="http://schemas.openxmlformats.org/drawingml/2006/picture">
                  <pic:nvPicPr>
                    <pic:cNvPr id="244" name="Boîte d'image 244"/>
                    <pic:cNvPicPr/>
                  </pic:nvPicPr>
                  <pic:blipFill>
                    <a:blip r:embed="rId128"/>
                    <a:stretch/>
                  </pic:blipFill>
                  <pic:spPr>
                    <a:xfrm>
                      <a:ext cx="2286000" cy="323215"/>
                    </a:xfrm>
                    <a:prstGeom prst="rect"/>
                  </pic:spPr>
                </pic:pic>
              </a:graphicData>
            </a:graphic>
          </wp:anchor>
        </w:drawing>
      </w:r>
      <w:r>
        <mc:AlternateContent>
          <mc:Choice Requires="wps">
            <w:drawing>
              <wp:anchor distT="0" distB="0" distL="0" distR="0" simplePos="0" relativeHeight="503316526" behindDoc="0" locked="0" layoutInCell="1" allowOverlap="1">
                <wp:simplePos x="0" y="0"/>
                <wp:positionH relativeFrom="page">
                  <wp:posOffset>3521075</wp:posOffset>
                </wp:positionH>
                <wp:positionV relativeFrom="margin">
                  <wp:posOffset>731520</wp:posOffset>
                </wp:positionV>
                <wp:extent cx="734695" cy="255905"/>
                <wp:wrapNone/>
                <wp:docPr id="245" name="Forme 245"/>
                <a:graphic xmlns:a="http://schemas.openxmlformats.org/drawingml/2006/main">
                  <a:graphicData uri="http://schemas.microsoft.com/office/word/2010/wordprocessingShape">
                    <wps:wsp>
                      <wps:cNvSpPr txBox="1"/>
                      <wps:spPr>
                        <a:xfrm>
                          <a:ext cx="734695" cy="255905"/>
                        </a:xfrm>
                        <a:prstGeom prst="rect"/>
                        <a:noFill/>
                      </wps:spPr>
                      <wps:txbx>
                        <w:txbxContent>
                          <w:p>
                            <w:pPr>
                              <w:pStyle w:val="Style27"/>
                              <w:keepNext w:val="0"/>
                              <w:keepLines w:val="0"/>
                              <w:widowControl w:val="0"/>
                              <w:shd w:val="clear" w:color="auto" w:fill="auto"/>
                              <w:spacing w:before="0" w:after="0" w:line="240" w:lineRule="auto"/>
                              <w:ind w:left="0" w:right="0" w:firstLine="0"/>
                              <w:jc w:val="right"/>
                              <w:rPr>
                                <w:sz w:val="16"/>
                              </w:rPr>
                            </w:pPr>
                            <w:r>
                              <w:rPr>
                                <w:rStyle w:val="CharStyle28"/>
                                <w:color w:val="464648"/>
                                <w:sz w:val="16"/>
                              </w:rPr>
                              <w:t>Rebecc</w:t>
                            </w:r>
                          </w:p>
                          <w:p>
                            <w:pPr>
                              <w:pStyle w:val="Style27"/>
                              <w:keepNext w:val="0"/>
                              <w:keepLines w:val="0"/>
                              <w:widowControl w:val="0"/>
                              <w:shd w:val="clear" w:color="auto" w:fill="auto"/>
                              <w:spacing w:before="0" w:after="0" w:line="240" w:lineRule="auto"/>
                              <w:ind w:left="0" w:right="0" w:firstLine="0"/>
                              <w:jc w:val="right"/>
                              <w:rPr>
                                <w:sz w:val="16"/>
                              </w:rPr>
                            </w:pPr>
                            <w:r>
                              <w:rPr>
                                <w:rStyle w:val="CharStyle28"/>
                                <w:color w:val="464648"/>
                                <w:sz w:val="16"/>
                              </w:rPr>
                              <w:t xml:space="preserve">Megan </w:t>
                            </w:r>
                            <w:r>
                              <w:rPr>
                                <w:rStyle w:val="CharStyle28"/>
                                <w:color w:val="303030"/>
                                <w:sz w:val="16"/>
                              </w:rPr>
                              <w:t xml:space="preserve">Baldwin (homonymie)</w:t>
                            </w:r>
                          </w:p>
                        </w:txbxContent>
                      </wps:txbx>
                      <wps:bodyPr lIns="0" tIns="0" rIns="0" bIns="0">
                        <a:noAutoFit/>
                      </wps:bodyPr>
                    </wps:wsp>
                  </a:graphicData>
                </a:graphic>
              </wp:anchor>
            </w:drawing>
          </mc:Choice>
        </mc:AlternateContent>
      </w:r>
      <w:r>
        <w:rPr>
          <w:rStyle w:val="CharStyle37"/>
          <w:rFonts w:ascii="Times New Roman" w:hAnsi="Times New Roman" w:cs="Times New Roman" w:eastAsia="Times New Roman"/>
          <w:color w:val="303030"/>
          <w:sz w:val="22"/>
        </w:rPr>
        <w:t xml:space="preserve">Pièces jointes: </w:t>
      </w:r>
      <w:r>
        <w:rPr>
          <w:rStyle w:val="CharStyle37"/>
          <w:color w:val="464648"/>
        </w:rPr>
        <w:t xml:space="preserve">DOH_COVID19 _NHAdmissionsRéadmissions_ 032520.pdf</w:t>
      </w:r>
    </w:p>
    <w:p>
      <w:pPr>
        <w:pStyle w:val="Style24"/>
        <w:keepNext w:val="0"/>
        <w:keepLines w:val="0"/>
        <w:widowControl w:val="0"/>
        <w:shd w:val="clear" w:color="auto" w:fill="auto"/>
        <w:spacing w:before="0" w:after="160" w:line="197" w:lineRule="auto"/>
        <w:ind w:left="160" w:right="0" w:firstLine="20"/>
        <w:jc w:val="left"/>
      </w:pPr>
      <w:r>
        <w:rPr>
          <w:rStyle w:val="CharStyle25"/>
          <w:color w:val="464648"/>
        </w:rPr>
        <w:t xml:space="preserve">Veuillez trouver ci-joint un avis approuvé du ministère de la Santé (DOH) </w:t>
      </w:r>
      <w:r>
        <w:rPr>
          <w:rStyle w:val="CharStyle25"/>
          <w:color w:val="464648"/>
        </w:rPr>
        <w:t xml:space="preserve">sur les sorties d'hôpitaux et les admissions dans les maisons de soins infirmiers.</w:t>
      </w:r>
    </w:p>
    <w:p>
      <w:pPr>
        <w:pStyle w:val="Style24"/>
        <w:keepNext w:val="0"/>
        <w:keepLines w:val="0"/>
        <w:widowControl w:val="0"/>
        <w:shd w:val="clear" w:color="auto" w:fill="auto"/>
        <w:spacing w:before="0" w:after="0" w:line="240" w:lineRule="auto"/>
        <w:ind w:left="0" w:right="0" w:firstLine="160"/>
        <w:jc w:val="left"/>
      </w:pPr>
      <w:r>
        <w:rPr>
          <w:rStyle w:val="CharStyle25"/>
          <w:color w:val="464648"/>
        </w:rPr>
        <w:t>Joe</w:t>
      </w:r>
    </w:p>
    <w:p>
      <w:pPr>
        <w:pStyle w:val="Style57"/>
        <w:keepNext w:val="0"/>
        <w:keepLines w:val="0"/>
        <w:widowControl w:val="0"/>
        <w:shd w:val="clear" w:color="auto" w:fill="auto"/>
        <w:spacing w:before="0" w:after="0" w:line="329" w:lineRule="auto"/>
        <w:ind w:left="0" w:right="0" w:firstLine="160"/>
        <w:jc w:val="left"/>
      </w:pPr>
      <w:r>
        <w:rPr>
          <w:rStyle w:val="CharStyle58"/>
          <w:smallCaps/>
          <w:color w:val="838481"/>
          <w:sz w:val="8"/>
          <w:u w:val="single"/>
        </w:rPr>
        <w:t>k*</w:t>
      </w:r>
      <w:r>
        <w:rPr>
          <w:rStyle w:val="CharStyle58"/>
          <w:smallCaps/>
          <w:color w:val="838481"/>
          <w:sz w:val="8"/>
          <w:u w:val="single"/>
          <w:vertAlign w:val="superscript"/>
        </w:rPr>
        <w:t>-</w:t>
      </w:r>
      <w:r>
        <w:rPr>
          <w:rStyle w:val="CharStyle58"/>
          <w:b/>
          <w:color w:val="838481"/>
        </w:rPr>
        <w:t xml:space="preserve"> </w:t>
      </w:r>
      <w:r>
        <w:rPr>
          <w:rStyle w:val="CharStyle58"/>
          <w:b/>
          <w:color w:val="656361"/>
        </w:rPr>
        <w:t xml:space="preserve">Rs Avril 1.2020, </w:t>
      </w:r>
      <w:r>
        <w:rPr>
          <w:rStyle w:val="CharStyle58"/>
          <w:b/>
          <w:color w:val="838481"/>
        </w:rPr>
        <w:t xml:space="preserve"> </w:t>
      </w:r>
      <w:r>
        <w:rPr>
          <w:rStyle w:val="CharStyle58"/>
          <w:b/>
          <w:color w:val="656361"/>
        </w:rPr>
        <w:t xml:space="preserve">année de la maison devrait recevoir </w:t>
      </w:r>
      <w:r>
        <w:rPr>
          <w:rStyle w:val="CharStyle58"/>
          <w:b/>
          <w:color w:val="838481"/>
        </w:rPr>
        <w:t xml:space="preserve">une ins </w:t>
      </w:r>
      <w:r>
        <w:rPr>
          <w:rStyle w:val="CharStyle58"/>
          <w:b/>
          <w:color w:val="656361"/>
        </w:rPr>
        <w:t xml:space="preserve"> </w:t>
      </w:r>
      <w:r>
        <w:rPr>
          <w:rStyle w:val="CharStyle58"/>
          <w:b/>
          <w:color w:val="838481"/>
        </w:rPr>
        <w:t xml:space="preserve">Ration à</w:t>
      </w:r>
    </w:p>
    <w:p>
      <w:pPr>
        <w:pStyle w:val="Style57"/>
        <w:keepNext w:val="0"/>
        <w:keepLines w:val="0"/>
        <w:widowControl w:val="0"/>
        <w:shd w:val="clear" w:color="auto" w:fill="auto"/>
        <w:spacing w:before="0" w:after="0" w:line="329" w:lineRule="auto"/>
        <w:ind w:left="560" w:right="0" w:firstLine="0"/>
        <w:jc w:val="left"/>
      </w:pPr>
      <w:r>
        <w:rPr>
          <w:rStyle w:val="CharStyle58"/>
          <w:b/>
          <w:color w:val="838481"/>
        </w:rPr>
        <w:t xml:space="preserve">participer </w:t>
      </w:r>
      <w:r>
        <w:rPr>
          <w:rStyle w:val="CharStyle58"/>
          <w:b/>
          <w:color w:val="656361"/>
        </w:rPr>
        <w:t xml:space="preserve">auCcnsus. </w:t>
      </w:r>
      <w:r>
        <w:rPr>
          <w:rStyle w:val="CharStyle58"/>
          <w:i/>
          <w:color w:val="656361"/>
        </w:rPr>
        <w:t xml:space="preserve">Pfea.w </w:t>
      </w:r>
      <w:r>
        <w:rPr>
          <w:rStyle w:val="CharStyle58"/>
          <w:i/>
          <w:color w:val="838481"/>
        </w:rPr>
        <w:t>responiL</w:t>
      </w:r>
      <w:r>
        <w:rPr>
          <w:rStyle w:val="CharStyle58"/>
          <w:b/>
          <w:color w:val="838481"/>
        </w:rPr>
        <w:t xml:space="preserve"> </w:t>
      </w:r>
      <w:r>
        <w:rPr>
          <w:rStyle w:val="CharStyle58"/>
          <w:b/>
          <w:color w:val="656361"/>
        </w:rPr>
        <w:t xml:space="preserve">en ligne, par téléphone ou par courrier.</w:t>
      </w:r>
    </w:p>
    <w:p>
      <w:pPr>
        <w:pStyle w:val="Style24"/>
        <w:keepNext w:val="0"/>
        <w:keepLines w:val="0"/>
        <w:widowControl w:val="0"/>
        <w:shd w:val="clear" w:color="auto" w:fill="auto"/>
        <w:spacing w:before="0" w:after="620" w:line="218" w:lineRule="auto"/>
        <w:ind w:left="0" w:right="0" w:firstLine="560"/>
        <w:jc w:val="left"/>
      </w:pPr>
      <w:r>
        <w:rPr>
          <w:rStyle w:val="CharStyle25"/>
          <w:color w:val="838481"/>
        </w:rPr>
        <w:t>littps;//2V20c«nsus.gpv;eii,«ssays-to-rcsp&lt;&gt;nd.bnnl</w:t>
      </w:r>
    </w:p>
    <w:p>
      <w:pPr>
        <w:pStyle w:val="Style24"/>
        <w:keepNext w:val="0"/>
        <w:keepLines w:val="0"/>
        <w:widowControl w:val="0"/>
        <w:shd w:val="clear" w:color="auto" w:fill="auto"/>
        <w:spacing w:before="0"/>
        <w:ind w:left="0" w:right="0" w:firstLine="740"/>
        <w:jc w:val="left"/>
      </w:pPr>
      <w:r>
        <w:rPr>
          <w:rStyle w:val="CharStyle25"/>
        </w:rPr>
        <w:t xml:space="preserve">Toutefois, le registre des privilèges produit par la chambre exécutive affirme qu’elle retenait cette communication exacte ailleurs dans la production parce qu’elle était protégée par le privilège du processus délibératif, notant qu’il s’agissait d’un «[e]mail reflétant les délibérations gouvernementales concernant le projet de conseil du 25 mars 2020 et joignant un projet de conseil reflétant les délibérations gouvernementales».</w:t>
        <w:footnoteReference w:id="463"/>
        <w:t xml:space="preserve"> Il s’agit d’un autre exemple d’incohérence qui soulève des questions quant à l’exactitude des demandes de privilège de la chambre exécutive.</w:t>
      </w:r>
    </w:p>
    <w:p>
      <w:pPr>
        <w:pStyle w:val="Style24"/>
        <w:keepNext w:val="0"/>
        <w:keepLines w:val="0"/>
        <w:widowControl w:val="0"/>
        <w:shd w:val="clear" w:color="auto" w:fill="auto"/>
        <w:spacing w:before="0" w:line="264" w:lineRule="auto"/>
        <w:ind w:left="0" w:right="0" w:firstLine="740"/>
        <w:jc w:val="left"/>
      </w:pPr>
      <w:r>
        <w:rPr>
          <w:rStyle w:val="CharStyle25"/>
        </w:rPr>
        <w:t xml:space="preserve">De même, le Sous-Comité spécial a expressément demandé tous les documents et communications concernant ou se rapportant au rapport du NYSDOH. </w:t>
        <w:footnoteReference w:id="464"/>
        <w:t xml:space="preserve">Toutefois, les documents fournis par la Chambre exécutive sont insuffisants. La Chambre exécutive n'a pas produit une seule ébauche du rapport du 6 juillet. Tous les documents contenant les ébauches du rapport du 6 juillet ont été fournis au sous-comité restreint par un dénonciateur.</w:t>
      </w:r>
    </w:p>
    <w:p>
      <w:pPr>
        <w:pStyle w:val="Style24"/>
        <w:keepNext w:val="0"/>
        <w:keepLines w:val="0"/>
        <w:widowControl w:val="0"/>
        <w:shd w:val="clear" w:color="auto" w:fill="auto"/>
        <w:spacing w:before="0" w:after="120" w:line="264" w:lineRule="auto"/>
        <w:ind w:left="0" w:right="0" w:firstLine="740"/>
        <w:jc w:val="left"/>
      </w:pPr>
      <w:r>
        <w:rPr>
          <w:rStyle w:val="CharStyle25"/>
        </w:rPr>
        <w:t xml:space="preserve">Malgré son importance pour notre enquête, la Chambre exécutive a retenu tous les documents et communications liés au rapport NYDOH entre le 6 juin 2020 et le 6 juillet 2020, date de publication du rapport. </w:t>
        <w:footnoteReference w:id="465"/>
        <w:t xml:space="preserve">Ces documents et communications comprenaient de nombreux gardiens prioritaires que nous avions expressément demandés, y compris le personnel de la Chambre de la haute direction.</w:t>
        <w:footnoteReference w:id="466"/>
        <w:t xml:space="preserve"> Comme il a été mentionné précédemment, la Chambre de direction a également retenu les courriels de McKinsey &amp; Company</w:t>
        <w:footnoteReference w:id="467"/>
        <w:t xml:space="preserve"> et de Michael Dowling, de Northwell Health, une autre personne désignée comme dépositaire prioritaire.</w:t>
        <w:footnoteReference w:id="468"/>
      </w:r>
    </w:p>
    <w:p>
      <w:pPr>
        <w:pStyle w:val="Style24"/>
        <w:keepNext w:val="0"/>
        <w:keepLines w:val="0"/>
        <w:widowControl w:val="0"/>
        <w:shd w:val="clear" w:color="auto" w:fill="auto"/>
        <w:spacing w:before="0"/>
        <w:ind w:left="0" w:right="0" w:firstLine="740"/>
        <w:jc w:val="both"/>
      </w:pPr>
      <w:r>
        <w:rPr>
          <w:rStyle w:val="CharStyle25"/>
        </w:rPr>
        <w:t xml:space="preserve">La Chambre exécutive retient également les documents et les communications concernant les données des maisons de soins infirmiers. Par exemple, la Chambre exécutive a retenu un fil de discussion électronique entre Melissa DeRosa, Linda Lacewell et Megan Baldwin concernant des décès présumés dans des maisons de soins infirmiers.</w:t>
        <w:footnoteReference w:id="469"/>
        <w:t xml:space="preserve"> Le journal des privilèges affirme que ces courriels sont un « fil de discussion électronique reflétant les délibérations gouvernementales concernant les informations du NYS, en joignant un projet de feuille de calcul reflétant les délibérations ».</w:t>
        <w:footnoteReference w:id="470"/>
        <w:t xml:space="preserve"> Il est très préoccupant que la chambre exécutive allègue que les données sur les décès en maison de retraite pourraient être interprétées comme délibératives – les faits sont des faits, les faits et les données ne sont pas délibératifs.</w:t>
      </w:r>
    </w:p>
    <w:p>
      <w:pPr>
        <w:pStyle w:val="Style24"/>
        <w:keepNext w:val="0"/>
        <w:keepLines w:val="0"/>
        <w:widowControl w:val="0"/>
        <w:shd w:val="clear" w:color="auto" w:fill="auto"/>
        <w:spacing w:before="0" w:after="0"/>
        <w:ind w:left="0" w:right="0" w:firstLine="740"/>
        <w:jc w:val="both"/>
      </w:pPr>
      <w:r>
        <w:rPr>
          <w:rStyle w:val="CharStyle25"/>
        </w:rPr>
        <w:t xml:space="preserve">En résumé, la Chambre exécutive a entièrement dissimulé des documents pertinents et en a expurgé certains de manière excessive, sans aucune base juridique appropriée. Bien que le sous-comité restreint ne reconnaisse pas les privilèges de l’avocat-client et du processus délibératif, même s’il l’a fait, le registre des privilèges de la chambre exécutive comprend de nombreuses affirmations de privilèges qui sont mal fondées, incohérentes ou trop vagues, ce qui a entravé la capacité du sous-comité restreint à contester les privilèges invoqués.</w:t>
      </w:r>
    </w:p>
    <w:sectPr>
      <w:footnotePr>
        <w:pos w:val="pageBottom"/>
        <w:numFmt w:val="decimal"/>
        <w:numStart w:val="1456"/>
        <w:numRestart w:val="continuous"/>
        <w15:footnoteColumns w:val="1"/>
      </w:footnotePr>
      <w:type w:val="continuous"/>
      <w:pgSz w:w="12485" w:h="16357"/>
      <w:pgMar w:top="1710" w:right="1563" w:bottom="1478" w:left="1508" w:header="1282"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3482340</wp:posOffset>
              </wp:positionH>
              <wp:positionV relativeFrom="page">
                <wp:posOffset>9716135</wp:posOffset>
              </wp:positionV>
              <wp:extent cx="984250" cy="137160"/>
              <wp:wrapNone/>
              <wp:docPr id="20" name="Forme 20"/>
              <a:graphic xmlns:a="http://schemas.openxmlformats.org/drawingml/2006/main">
                <a:graphicData uri="http://schemas.microsoft.com/office/word/2010/wordprocessingShape">
                  <wps:wsp>
                    <wps:cNvSpPr txBox="1"/>
                    <wps:spPr>
                      <a:xfrm>
                        <a:ext cx="984250" cy="137160"/>
                      </a:xfrm>
                      <a:prstGeom prst="rect"/>
                      <a:noFill/>
                    </wps:spPr>
                    <wps:txbx>
                      <w:txbxContent>
                        <w:p>
                          <w:pPr>
                            <w:pStyle w:val="Style21"/>
                            <w:keepNext w:val="0"/>
                            <w:keepLines w:val="0"/>
                            <w:widowControl w:val="0"/>
                            <w:shd w:val="clear" w:color="auto" w:fill="auto"/>
                            <w:spacing w:before="0" w:after="0" w:line="240" w:lineRule="auto"/>
                            <w:ind w:left="0" w:right="0" w:firstLine="0"/>
                            <w:jc w:val="left"/>
                            <w:rPr>
                              <w:sz w:val="22"/>
                            </w:rPr>
                          </w:pPr>
                          <w:r>
                            <w:rPr>
                              <w:rStyle w:val="CharStyle22"/>
                              <w:sz w:val="22"/>
                            </w:rPr>
                            <w:t xml:space="preserve">Page </w:t>
                          </w:r>
                          <w:fldSimple w:instr=" PAGE \* MERGEFORMAT ">
                            <w:r>
                              <w:rPr>
                                <w:rStyle w:val="CharStyle22"/>
                                <w:sz w:val="22"/>
                                <w:szCs w:val="22"/>
                              </w:rPr>
                              <w:t>#</w:t>
                            </w:r>
                          </w:fldSimple>
                          <w:r>
                            <w:rPr>
                              <w:rStyle w:val="CharStyle22"/>
                              <w:sz w:val="22"/>
                            </w:rPr>
                            <w:t xml:space="preserve"> de 520</w:t>
                          </w:r>
                        </w:p>
                      </w:txbxContent>
                    </wps:txbx>
                    <wps:bodyPr wrap="none" lIns="0" tIns="0" rIns="0" bIns="0">
                      <a:spAutoFit/>
                    </wps:bodyPr>
                  </wps:wsp>
                </a:graphicData>
              </a:graphic>
            </wp:anchor>
          </w:drawing>
        </mc:Choice>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6112510</wp:posOffset>
              </wp:positionH>
              <wp:positionV relativeFrom="page">
                <wp:posOffset>8973820</wp:posOffset>
              </wp:positionV>
              <wp:extent cx="612775" cy="91440"/>
              <wp:wrapNone/>
              <wp:docPr id="215" name="Forme 215"/>
              <a:graphic xmlns:a="http://schemas.openxmlformats.org/drawingml/2006/main">
                <a:graphicData uri="http://schemas.microsoft.com/office/word/2010/wordprocessingShape">
                  <wps:wsp>
                    <wps:cNvSpPr txBox="1"/>
                    <wps:spPr>
                      <a:xfrm>
                        <a:ext cx="612775" cy="91440"/>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16"/>
                            </w:rPr>
                          </w:pPr>
                          <w:r>
                            <w:rPr>
                              <w:rStyle w:val="CharStyle221"/>
                              <w:rFonts w:ascii="Arial" w:hAnsi="Arial" w:cs="Arial" w:eastAsia="Arial"/>
                              <w:sz w:val="16"/>
                            </w:rPr>
                            <w:t xml:space="preserve">EHA 0005599</w:t>
                          </w:r>
                        </w:p>
                      </w:txbxContent>
                    </wps:txbx>
                    <wps:bodyPr wrap="none" lIns="0" tIns="0" rIns="0" bIns="0">
                      <a:spAutoFit/>
                    </wps:bodyPr>
                  </wps:wsp>
                </a:graphicData>
              </a:graphic>
            </wp:anchor>
          </w:drawing>
        </mc:Choice>
      </mc:AlternateContent>
    </w:r>
    <w:r>
      <mc:AlternateContent>
        <mc:Choice Requires="wps">
          <w:drawing>
            <wp:anchor distT="0" distB="0" distL="0" distR="0" simplePos="0" relativeHeight="62914720" behindDoc="1" locked="0" layoutInCell="1" allowOverlap="1">
              <wp:simplePos x="0" y="0"/>
              <wp:positionH relativeFrom="page">
                <wp:posOffset>3467100</wp:posOffset>
              </wp:positionH>
              <wp:positionV relativeFrom="page">
                <wp:posOffset>9546590</wp:posOffset>
              </wp:positionV>
              <wp:extent cx="987425" cy="140335"/>
              <wp:wrapNone/>
              <wp:docPr id="217" name="Forme 217"/>
              <a:graphic xmlns:a="http://schemas.openxmlformats.org/drawingml/2006/main">
                <a:graphicData uri="http://schemas.microsoft.com/office/word/2010/wordprocessingShape">
                  <wps:wsp>
                    <wps:cNvSpPr txBox="1"/>
                    <wps:spPr>
                      <a:xfrm>
                        <a:ext cx="987425" cy="140335"/>
                      </a:xfrm>
                      <a:prstGeom prst="rect"/>
                      <a:noFill/>
                    </wps:spPr>
                    <wps:txbx>
                      <w:txbxContent>
                        <w:p>
                          <w:pPr>
                            <w:pStyle w:val="Style220"/>
                            <w:keepNext w:val="0"/>
                            <w:keepLines w:val="0"/>
                            <w:widowControl w:val="0"/>
                            <w:shd w:val="clear" w:color="auto" w:fill="auto"/>
                            <w:spacing w:before="0" w:after="0" w:line="240" w:lineRule="auto"/>
                            <w:ind w:left="0" w:right="0" w:firstLine="0"/>
                            <w:jc w:val="left"/>
                          </w:pPr>
                          <w:r>
                            <w:rPr>
                              <w:rStyle w:val="CharStyle221"/>
                            </w:rPr>
                            <w:t xml:space="preserve">Page </w:t>
                          </w:r>
                          <w:fldSimple w:instr=" PAGE \* MERGEFORMAT ">
                            <w:r>
                              <w:rPr>
                                <w:rStyle w:val="CharStyle221"/>
                              </w:rPr>
                              <w:t>#</w:t>
                            </w:r>
                          </w:fldSimple>
                          <w:r>
                            <w:rPr>
                              <w:rStyle w:val="CharStyle221"/>
                            </w:rPr>
                            <w:t xml:space="preserve"> de 520</w:t>
                          </w:r>
                        </w:p>
                      </w:txbxContent>
                    </wps:txbx>
                    <wps:bodyPr wrap="none" lIns="0" tIns="0" rIns="0" bIns="0">
                      <a:spAutoFit/>
                    </wps:bodyPr>
                  </wps:wsp>
                </a:graphicData>
              </a:graphic>
            </wp:anchor>
          </w:drawing>
        </mc:Choice>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3482340</wp:posOffset>
              </wp:positionH>
              <wp:positionV relativeFrom="page">
                <wp:posOffset>9716135</wp:posOffset>
              </wp:positionV>
              <wp:extent cx="984250" cy="137160"/>
              <wp:wrapNone/>
              <wp:docPr id="221" name="Forme 221"/>
              <a:graphic xmlns:a="http://schemas.openxmlformats.org/drawingml/2006/main">
                <a:graphicData uri="http://schemas.microsoft.com/office/word/2010/wordprocessingShape">
                  <wps:wsp>
                    <wps:cNvSpPr txBox="1"/>
                    <wps:spPr>
                      <a:xfrm>
                        <a:ext cx="984250" cy="137160"/>
                      </a:xfrm>
                      <a:prstGeom prst="rect"/>
                      <a:noFill/>
                    </wps:spPr>
                    <wps:txbx>
                      <w:txbxContent>
                        <w:p>
                          <w:pPr>
                            <w:pStyle w:val="Style21"/>
                            <w:keepNext w:val="0"/>
                            <w:keepLines w:val="0"/>
                            <w:widowControl w:val="0"/>
                            <w:shd w:val="clear" w:color="auto" w:fill="auto"/>
                            <w:spacing w:before="0" w:after="0" w:line="240" w:lineRule="auto"/>
                            <w:ind w:left="0" w:right="0" w:firstLine="0"/>
                            <w:jc w:val="left"/>
                            <w:rPr>
                              <w:sz w:val="22"/>
                            </w:rPr>
                          </w:pPr>
                          <w:r>
                            <w:rPr>
                              <w:rStyle w:val="CharStyle22"/>
                              <w:sz w:val="22"/>
                            </w:rPr>
                            <w:t xml:space="preserve">Page </w:t>
                          </w:r>
                          <w:fldSimple w:instr=" PAGE \* MERGEFORMAT ">
                            <w:r>
                              <w:rPr>
                                <w:rStyle w:val="CharStyle22"/>
                                <w:sz w:val="22"/>
                                <w:szCs w:val="22"/>
                              </w:rPr>
                              <w:t>#</w:t>
                            </w:r>
                          </w:fldSimple>
                          <w:r>
                            <w:rPr>
                              <w:rStyle w:val="CharStyle22"/>
                              <w:sz w:val="22"/>
                            </w:rPr>
                            <w:t xml:space="preserve"> de 520</w:t>
                          </w:r>
                        </w:p>
                      </w:txbxContent>
                    </wps:txbx>
                    <wps:bodyPr wrap="none" lIns="0" tIns="0" rIns="0" bIns="0">
                      <a:spAutoFit/>
                    </wps:bodyPr>
                  </wps:wsp>
                </a:graphicData>
              </a:graphic>
            </wp:anchor>
          </w:drawing>
        </mc:Choice>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3482340</wp:posOffset>
              </wp:positionH>
              <wp:positionV relativeFrom="page">
                <wp:posOffset>9716135</wp:posOffset>
              </wp:positionV>
              <wp:extent cx="984250" cy="137160"/>
              <wp:wrapNone/>
              <wp:docPr id="224" name="Forme 224"/>
              <a:graphic xmlns:a="http://schemas.openxmlformats.org/drawingml/2006/main">
                <a:graphicData uri="http://schemas.microsoft.com/office/word/2010/wordprocessingShape">
                  <wps:wsp>
                    <wps:cNvSpPr txBox="1"/>
                    <wps:spPr>
                      <a:xfrm>
                        <a:ext cx="984250" cy="137160"/>
                      </a:xfrm>
                      <a:prstGeom prst="rect"/>
                      <a:noFill/>
                    </wps:spPr>
                    <wps:txbx>
                      <w:txbxContent>
                        <w:p>
                          <w:pPr>
                            <w:pStyle w:val="Style21"/>
                            <w:keepNext w:val="0"/>
                            <w:keepLines w:val="0"/>
                            <w:widowControl w:val="0"/>
                            <w:shd w:val="clear" w:color="auto" w:fill="auto"/>
                            <w:spacing w:before="0" w:after="0" w:line="240" w:lineRule="auto"/>
                            <w:ind w:left="0" w:right="0" w:firstLine="0"/>
                            <w:jc w:val="left"/>
                            <w:rPr>
                              <w:sz w:val="22"/>
                            </w:rPr>
                          </w:pPr>
                          <w:r>
                            <w:rPr>
                              <w:rStyle w:val="CharStyle22"/>
                              <w:sz w:val="22"/>
                            </w:rPr>
                            <w:t xml:space="preserve">Page </w:t>
                          </w:r>
                          <w:fldSimple w:instr=" PAGE \* MERGEFORMAT ">
                            <w:r>
                              <w:rPr>
                                <w:rStyle w:val="CharStyle22"/>
                                <w:sz w:val="22"/>
                                <w:szCs w:val="22"/>
                              </w:rPr>
                              <w:t>#</w:t>
                            </w:r>
                          </w:fldSimple>
                          <w:r>
                            <w:rPr>
                              <w:rStyle w:val="CharStyle22"/>
                              <w:sz w:val="22"/>
                            </w:rPr>
                            <w:t xml:space="preserve"> de 520</w:t>
                          </w:r>
                        </w:p>
                      </w:txbxContent>
                    </wps:txbx>
                    <wps:bodyPr wrap="none" lIns="0" tIns="0" rIns="0" bIns="0">
                      <a:spAutoFit/>
                    </wps:bodyPr>
                  </wps:wsp>
                </a:graphicData>
              </a:graphic>
            </wp:anchor>
          </w:drawing>
        </mc:Choice>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3482340</wp:posOffset>
              </wp:positionH>
              <wp:positionV relativeFrom="page">
                <wp:posOffset>9716135</wp:posOffset>
              </wp:positionV>
              <wp:extent cx="984250" cy="137160"/>
              <wp:wrapNone/>
              <wp:docPr id="123" name="Forme 123"/>
              <a:graphic xmlns:a="http://schemas.openxmlformats.org/drawingml/2006/main">
                <a:graphicData uri="http://schemas.microsoft.com/office/word/2010/wordprocessingShape">
                  <wps:wsp>
                    <wps:cNvSpPr txBox="1"/>
                    <wps:spPr>
                      <a:xfrm>
                        <a:ext cx="984250" cy="137160"/>
                      </a:xfrm>
                      <a:prstGeom prst="rect"/>
                      <a:noFill/>
                    </wps:spPr>
                    <wps:txbx>
                      <w:txbxContent>
                        <w:p>
                          <w:pPr>
                            <w:pStyle w:val="Style21"/>
                            <w:keepNext w:val="0"/>
                            <w:keepLines w:val="0"/>
                            <w:widowControl w:val="0"/>
                            <w:shd w:val="clear" w:color="auto" w:fill="auto"/>
                            <w:spacing w:before="0" w:after="0" w:line="240" w:lineRule="auto"/>
                            <w:ind w:left="0" w:right="0" w:firstLine="0"/>
                            <w:jc w:val="left"/>
                            <w:rPr>
                              <w:sz w:val="22"/>
                            </w:rPr>
                          </w:pPr>
                          <w:r>
                            <w:rPr>
                              <w:rStyle w:val="CharStyle22"/>
                              <w:sz w:val="22"/>
                            </w:rPr>
                            <w:t xml:space="preserve">Page </w:t>
                          </w:r>
                          <w:fldSimple w:instr=" PAGE \* MERGEFORMAT ">
                            <w:r>
                              <w:rPr>
                                <w:rStyle w:val="CharStyle22"/>
                                <w:sz w:val="22"/>
                                <w:szCs w:val="22"/>
                              </w:rPr>
                              <w:t>#</w:t>
                            </w:r>
                          </w:fldSimple>
                          <w:r>
                            <w:rPr>
                              <w:rStyle w:val="CharStyle22"/>
                              <w:sz w:val="22"/>
                            </w:rPr>
                            <w:t xml:space="preserve"> de 520</w:t>
                          </w:r>
                        </w:p>
                      </w:txbxContent>
                    </wps:txbx>
                    <wps:bodyPr wrap="none" lIns="0" tIns="0" rIns="0" bIns="0">
                      <a:spAutoFit/>
                    </wps:bodyPr>
                  </wps:wsp>
                </a:graphicData>
              </a:graphic>
            </wp:anchor>
          </w:drawing>
        </mc:Choice>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3482340</wp:posOffset>
              </wp:positionH>
              <wp:positionV relativeFrom="page">
                <wp:posOffset>9716135</wp:posOffset>
              </wp:positionV>
              <wp:extent cx="984250" cy="137160"/>
              <wp:wrapNone/>
              <wp:docPr id="179" name="Forme 179"/>
              <a:graphic xmlns:a="http://schemas.openxmlformats.org/drawingml/2006/main">
                <a:graphicData uri="http://schemas.microsoft.com/office/word/2010/wordprocessingShape">
                  <wps:wsp>
                    <wps:cNvSpPr txBox="1"/>
                    <wps:spPr>
                      <a:xfrm>
                        <a:ext cx="984250" cy="137160"/>
                      </a:xfrm>
                      <a:prstGeom prst="rect"/>
                      <a:noFill/>
                    </wps:spPr>
                    <wps:txbx>
                      <w:txbxContent>
                        <w:p>
                          <w:pPr>
                            <w:pStyle w:val="Style21"/>
                            <w:keepNext w:val="0"/>
                            <w:keepLines w:val="0"/>
                            <w:widowControl w:val="0"/>
                            <w:shd w:val="clear" w:color="auto" w:fill="auto"/>
                            <w:spacing w:before="0" w:after="0" w:line="240" w:lineRule="auto"/>
                            <w:ind w:left="0" w:right="0" w:firstLine="0"/>
                            <w:jc w:val="left"/>
                            <w:rPr>
                              <w:sz w:val="22"/>
                            </w:rPr>
                          </w:pPr>
                          <w:r>
                            <w:rPr>
                              <w:rStyle w:val="CharStyle22"/>
                              <w:sz w:val="22"/>
                            </w:rPr>
                            <w:t xml:space="preserve">Page </w:t>
                          </w:r>
                          <w:fldSimple w:instr=" PAGE \* MERGEFORMAT ">
                            <w:r>
                              <w:rPr>
                                <w:rStyle w:val="CharStyle22"/>
                                <w:sz w:val="22"/>
                                <w:szCs w:val="22"/>
                              </w:rPr>
                              <w:t>#</w:t>
                            </w:r>
                          </w:fldSimple>
                          <w:r>
                            <w:rPr>
                              <w:rStyle w:val="CharStyle22"/>
                              <w:sz w:val="22"/>
                            </w:rPr>
                            <w:t xml:space="preserve"> de 520</w:t>
                          </w:r>
                        </w:p>
                      </w:txbxContent>
                    </wps:txbx>
                    <wps:bodyPr wrap="none" lIns="0" tIns="0" rIns="0" bIns="0">
                      <a:spAutoFit/>
                    </wps:bodyPr>
                  </wps:wsp>
                </a:graphicData>
              </a:graphic>
            </wp:anchor>
          </w:drawing>
        </mc:Choice>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986790</wp:posOffset>
              </wp:positionH>
              <wp:positionV relativeFrom="page">
                <wp:posOffset>9453880</wp:posOffset>
              </wp:positionV>
              <wp:extent cx="5821680" cy="274320"/>
              <wp:wrapNone/>
              <wp:docPr id="181" name="Forme 181"/>
              <a:graphic xmlns:a="http://schemas.openxmlformats.org/drawingml/2006/main">
                <a:graphicData uri="http://schemas.microsoft.com/office/word/2010/wordprocessingShape">
                  <wps:wsp>
                    <wps:cNvSpPr txBox="1"/>
                    <wps:spPr>
                      <a:xfrm>
                        <a:ext cx="5821680" cy="274320"/>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20"/>
                            </w:rPr>
                          </w:pPr>
                          <w:r>
                            <w:rPr>
                              <w:rStyle w:val="CharStyle221"/>
                              <w:sz w:val="20"/>
                              <w:vertAlign w:val="superscript"/>
                            </w:rPr>
                            <w:t>1834</w:t>
                          </w:r>
                          <w:r>
                            <w:rPr>
                              <w:rStyle w:val="CharStyle221"/>
                              <w:sz w:val="20"/>
                            </w:rPr>
                            <w:t xml:space="preserve"> Courriel de David Morens, conseiller principal, Nat’l Inst. of Allergy &amp; Infectious Diseases, Nat’l Inst. of Health</w:t>
                          </w:r>
                        </w:p>
                        <w:p>
                          <w:pPr>
                            <w:pStyle w:val="Style220"/>
                            <w:keepNext w:val="0"/>
                            <w:keepLines w:val="0"/>
                            <w:widowControl w:val="0"/>
                            <w:shd w:val="clear" w:color="auto" w:fill="auto"/>
                            <w:spacing w:before="0" w:after="0" w:line="240" w:lineRule="auto"/>
                            <w:ind w:left="0" w:right="0" w:firstLine="0"/>
                            <w:jc w:val="left"/>
                            <w:rPr>
                              <w:sz w:val="20"/>
                            </w:rPr>
                          </w:pPr>
                          <w:r>
                            <w:rPr>
                              <w:rStyle w:val="CharStyle221"/>
                              <w:sz w:val="20"/>
                            </w:rPr>
                            <w:t xml:space="preserve">à Peter Daszak, Ph.D., EcoHealth Alliance, Inc (5 octobre 2021, 17 h 28).</w:t>
                          </w:r>
                        </w:p>
                      </w:txbxContent>
                    </wps:txbx>
                    <wps:bodyPr wrap="none" lIns="0" tIns="0" rIns="0" bIns="0">
                      <a:spAutoFit/>
                    </wps:bodyPr>
                  </wps:wsp>
                </a:graphicData>
              </a:graphic>
            </wp:anchor>
          </w:drawing>
        </mc:Choice>
      </mc:AlternateContent>
    </w:r>
    <w:r>
      <mc:AlternateContent>
        <mc:Choice Requires="wps">
          <w:drawing>
            <wp:anchor distT="0" distB="0" distL="0" distR="0" simplePos="0" relativeHeight="62914698" behindDoc="1" locked="0" layoutInCell="1" allowOverlap="1">
              <wp:simplePos x="0" y="0"/>
              <wp:positionH relativeFrom="page">
                <wp:posOffset>3461385</wp:posOffset>
              </wp:positionH>
              <wp:positionV relativeFrom="page">
                <wp:posOffset>9968865</wp:posOffset>
              </wp:positionV>
              <wp:extent cx="987425" cy="140335"/>
              <wp:wrapNone/>
              <wp:docPr id="183" name="Forme 183"/>
              <a:graphic xmlns:a="http://schemas.openxmlformats.org/drawingml/2006/main">
                <a:graphicData uri="http://schemas.microsoft.com/office/word/2010/wordprocessingShape">
                  <wps:wsp>
                    <wps:cNvSpPr txBox="1"/>
                    <wps:spPr>
                      <a:xfrm>
                        <a:ext cx="987425" cy="140335"/>
                      </a:xfrm>
                      <a:prstGeom prst="rect"/>
                      <a:noFill/>
                    </wps:spPr>
                    <wps:txbx>
                      <w:txbxContent>
                        <w:p>
                          <w:pPr>
                            <w:pStyle w:val="Style220"/>
                            <w:keepNext w:val="0"/>
                            <w:keepLines w:val="0"/>
                            <w:widowControl w:val="0"/>
                            <w:shd w:val="clear" w:color="auto" w:fill="auto"/>
                            <w:spacing w:before="0" w:after="0" w:line="240" w:lineRule="auto"/>
                            <w:ind w:left="0" w:right="0" w:firstLine="0"/>
                            <w:jc w:val="left"/>
                          </w:pPr>
                          <w:r>
                            <w:rPr>
                              <w:rStyle w:val="CharStyle221"/>
                            </w:rPr>
                            <w:t xml:space="preserve">Page </w:t>
                          </w:r>
                          <w:fldSimple w:instr=" PAGE \* MERGEFORMAT ">
                            <w:r>
                              <w:rPr>
                                <w:rStyle w:val="CharStyle221"/>
                              </w:rPr>
                              <w:t>#</w:t>
                            </w:r>
                          </w:fldSimple>
                          <w:r>
                            <w:rPr>
                              <w:rStyle w:val="CharStyle221"/>
                            </w:rPr>
                            <w:t xml:space="preserve"> de 520</w:t>
                          </w:r>
                        </w:p>
                      </w:txbxContent>
                    </wps:txbx>
                    <wps:bodyPr wrap="none" lIns="0" tIns="0" rIns="0" bIns="0">
                      <a:spAutoFit/>
                    </wps:bodyPr>
                  </wps:wsp>
                </a:graphicData>
              </a:graphic>
            </wp:anchor>
          </w:drawing>
        </mc:Choice>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6118860</wp:posOffset>
              </wp:positionH>
              <wp:positionV relativeFrom="page">
                <wp:posOffset>9411970</wp:posOffset>
              </wp:positionV>
              <wp:extent cx="612775" cy="88265"/>
              <wp:wrapNone/>
              <wp:docPr id="193" name="Forme 193"/>
              <a:graphic xmlns:a="http://schemas.openxmlformats.org/drawingml/2006/main">
                <a:graphicData uri="http://schemas.microsoft.com/office/word/2010/wordprocessingShape">
                  <wps:wsp>
                    <wps:cNvSpPr txBox="1"/>
                    <wps:spPr>
                      <a:xfrm>
                        <a:ext cx="612775" cy="88265"/>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16"/>
                            </w:rPr>
                          </w:pPr>
                          <w:r>
                            <w:rPr>
                              <w:rStyle w:val="CharStyle221"/>
                              <w:rFonts w:ascii="Arial" w:hAnsi="Arial" w:cs="Arial" w:eastAsia="Arial"/>
                              <w:sz w:val="16"/>
                            </w:rPr>
                            <w:t xml:space="preserve">EHA 0005595</w:t>
                          </w:r>
                        </w:p>
                      </w:txbxContent>
                    </wps:txbx>
                    <wps:bodyPr wrap="none" lIns="0" tIns="0" rIns="0" bIns="0">
                      <a:spAutoFit/>
                    </wps:bodyPr>
                  </wps:wsp>
                </a:graphicData>
              </a:graphic>
            </wp:anchor>
          </w:drawing>
        </mc:Choice>
      </mc:AlternateContent>
    </w:r>
    <w:r>
      <mc:AlternateContent>
        <mc:Choice Requires="wps">
          <w:drawing>
            <wp:anchor distT="0" distB="0" distL="0" distR="0" simplePos="0" relativeHeight="62914704" behindDoc="1" locked="0" layoutInCell="1" allowOverlap="1">
              <wp:simplePos x="0" y="0"/>
              <wp:positionH relativeFrom="page">
                <wp:posOffset>3470275</wp:posOffset>
              </wp:positionH>
              <wp:positionV relativeFrom="page">
                <wp:posOffset>9979025</wp:posOffset>
              </wp:positionV>
              <wp:extent cx="987425" cy="140335"/>
              <wp:wrapNone/>
              <wp:docPr id="195" name="Forme 195"/>
              <a:graphic xmlns:a="http://schemas.openxmlformats.org/drawingml/2006/main">
                <a:graphicData uri="http://schemas.microsoft.com/office/word/2010/wordprocessingShape">
                  <wps:wsp>
                    <wps:cNvSpPr txBox="1"/>
                    <wps:spPr>
                      <a:xfrm>
                        <a:ext cx="987425" cy="140335"/>
                      </a:xfrm>
                      <a:prstGeom prst="rect"/>
                      <a:noFill/>
                    </wps:spPr>
                    <wps:txbx>
                      <w:txbxContent>
                        <w:p>
                          <w:pPr>
                            <w:pStyle w:val="Style220"/>
                            <w:keepNext w:val="0"/>
                            <w:keepLines w:val="0"/>
                            <w:widowControl w:val="0"/>
                            <w:shd w:val="clear" w:color="auto" w:fill="auto"/>
                            <w:spacing w:before="0" w:after="0" w:line="240" w:lineRule="auto"/>
                            <w:ind w:left="0" w:right="0" w:firstLine="0"/>
                            <w:jc w:val="left"/>
                          </w:pPr>
                          <w:r>
                            <w:rPr>
                              <w:rStyle w:val="CharStyle221"/>
                            </w:rPr>
                            <w:t xml:space="preserve">Page </w:t>
                          </w:r>
                          <w:fldSimple w:instr=" PAGE \* MERGEFORMAT ">
                            <w:r>
                              <w:rPr>
                                <w:rStyle w:val="CharStyle221"/>
                              </w:rPr>
                              <w:t>#</w:t>
                            </w:r>
                          </w:fldSimple>
                          <w:r>
                            <w:rPr>
                              <w:rStyle w:val="CharStyle221"/>
                            </w:rPr>
                            <w:t xml:space="preserve"> de 520</w:t>
                          </w:r>
                        </w:p>
                      </w:txbxContent>
                    </wps:txbx>
                    <wps:bodyPr wrap="none" lIns="0" tIns="0" rIns="0" bIns="0">
                      <a:spAutoFit/>
                    </wps:bodyPr>
                  </wps:wsp>
                </a:graphicData>
              </a:graphic>
            </wp:anchor>
          </w:drawing>
        </mc:Choice>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6035040</wp:posOffset>
              </wp:positionH>
              <wp:positionV relativeFrom="page">
                <wp:posOffset>8808720</wp:posOffset>
              </wp:positionV>
              <wp:extent cx="612775" cy="76200"/>
              <wp:wrapNone/>
              <wp:docPr id="201" name="Forme 201"/>
              <a:graphic xmlns:a="http://schemas.openxmlformats.org/drawingml/2006/main">
                <a:graphicData uri="http://schemas.microsoft.com/office/word/2010/wordprocessingShape">
                  <wps:wsp>
                    <wps:cNvSpPr txBox="1"/>
                    <wps:spPr>
                      <a:xfrm>
                        <a:ext cx="612775" cy="76200"/>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16"/>
                            </w:rPr>
                          </w:pPr>
                          <w:r>
                            <w:rPr>
                              <w:rStyle w:val="CharStyle221"/>
                              <w:sz w:val="16"/>
                            </w:rPr>
                            <w:t xml:space="preserve">EHA 0005596</w:t>
                          </w:r>
                        </w:p>
                      </w:txbxContent>
                    </wps:txbx>
                    <wps:bodyPr wrap="none" lIns="0" tIns="0" rIns="0" bIns="0">
                      <a:spAutoFit/>
                    </wps:bodyPr>
                  </wps:wsp>
                </a:graphicData>
              </a:graphic>
            </wp:anchor>
          </w:drawing>
        </mc:Choice>
      </mc:AlternateContent>
    </w:r>
    <w:r>
      <mc:AlternateContent>
        <mc:Choice Requires="wps">
          <w:drawing>
            <wp:anchor distT="0" distB="0" distL="0" distR="0" simplePos="0" relativeHeight="62914708" behindDoc="1" locked="0" layoutInCell="1" allowOverlap="1">
              <wp:simplePos x="0" y="0"/>
              <wp:positionH relativeFrom="page">
                <wp:posOffset>3392170</wp:posOffset>
              </wp:positionH>
              <wp:positionV relativeFrom="page">
                <wp:posOffset>9384665</wp:posOffset>
              </wp:positionV>
              <wp:extent cx="984250" cy="140335"/>
              <wp:wrapNone/>
              <wp:docPr id="203" name="Forme 203"/>
              <a:graphic xmlns:a="http://schemas.openxmlformats.org/drawingml/2006/main">
                <a:graphicData uri="http://schemas.microsoft.com/office/word/2010/wordprocessingShape">
                  <wps:wsp>
                    <wps:cNvSpPr txBox="1"/>
                    <wps:spPr>
                      <a:xfrm>
                        <a:ext cx="984250" cy="140335"/>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24"/>
                            </w:rPr>
                          </w:pPr>
                          <w:r>
                            <w:rPr>
                              <w:rStyle w:val="CharStyle221"/>
                              <w:sz w:val="24"/>
                            </w:rPr>
                            <w:t xml:space="preserve">Page </w:t>
                          </w:r>
                          <w:fldSimple w:instr=" PAGE \* MERGEFORMAT ">
                            <w:r>
                              <w:rPr>
                                <w:rStyle w:val="CharStyle221"/>
                                <w:b/>
                                <w:bCs/>
                                <w:sz w:val="24"/>
                                <w:szCs w:val="24"/>
                              </w:rPr>
                              <w:t>#</w:t>
                            </w:r>
                          </w:fldSimple>
                          <w:r>
                            <w:rPr>
                              <w:rStyle w:val="CharStyle221"/>
                              <w:b/>
                              <w:sz w:val="24"/>
                            </w:rPr>
                            <w:t xml:space="preserve"> </w:t>
                          </w:r>
                          <w:r>
                            <w:rPr>
                              <w:rStyle w:val="CharStyle221"/>
                              <w:sz w:val="24"/>
                            </w:rPr>
                            <w:t xml:space="preserve">de </w:t>
                          </w:r>
                          <w:r>
                            <w:rPr>
                              <w:rStyle w:val="CharStyle221"/>
                              <w:b/>
                              <w:sz w:val="24"/>
                            </w:rPr>
                            <w:t>520</w:t>
                          </w:r>
                        </w:p>
                      </w:txbxContent>
                    </wps:txbx>
                    <wps:bodyPr wrap="none" lIns="0" tIns="0" rIns="0" bIns="0">
                      <a:spAutoFit/>
                    </wps:bodyPr>
                  </wps:wsp>
                </a:graphicData>
              </a:graphic>
            </wp:anchor>
          </w:drawing>
        </mc:Choice>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6115685</wp:posOffset>
              </wp:positionH>
              <wp:positionV relativeFrom="page">
                <wp:posOffset>8982710</wp:posOffset>
              </wp:positionV>
              <wp:extent cx="612775" cy="88265"/>
              <wp:wrapNone/>
              <wp:docPr id="205" name="Forme 205"/>
              <a:graphic xmlns:a="http://schemas.openxmlformats.org/drawingml/2006/main">
                <a:graphicData uri="http://schemas.microsoft.com/office/word/2010/wordprocessingShape">
                  <wps:wsp>
                    <wps:cNvSpPr txBox="1"/>
                    <wps:spPr>
                      <a:xfrm>
                        <a:ext cx="612775" cy="88265"/>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16"/>
                            </w:rPr>
                          </w:pPr>
                          <w:r>
                            <w:rPr>
                              <w:rStyle w:val="CharStyle221"/>
                              <w:rFonts w:ascii="Arial" w:hAnsi="Arial" w:cs="Arial" w:eastAsia="Arial"/>
                              <w:sz w:val="16"/>
                            </w:rPr>
                            <w:t xml:space="preserve">EHA 0005598</w:t>
                          </w:r>
                        </w:p>
                      </w:txbxContent>
                    </wps:txbx>
                    <wps:bodyPr wrap="none" lIns="0" tIns="0" rIns="0" bIns="0">
                      <a:spAutoFit/>
                    </wps:bodyPr>
                  </wps:wsp>
                </a:graphicData>
              </a:graphic>
            </wp:anchor>
          </w:drawing>
        </mc:Choice>
      </mc:AlternateContent>
    </w:r>
    <w:r>
      <mc:AlternateContent>
        <mc:Choice Requires="wps">
          <w:drawing>
            <wp:anchor distT="0" distB="0" distL="0" distR="0" simplePos="0" relativeHeight="62914712" behindDoc="1" locked="0" layoutInCell="1" allowOverlap="1">
              <wp:simplePos x="0" y="0"/>
              <wp:positionH relativeFrom="page">
                <wp:posOffset>3467100</wp:posOffset>
              </wp:positionH>
              <wp:positionV relativeFrom="page">
                <wp:posOffset>9549765</wp:posOffset>
              </wp:positionV>
              <wp:extent cx="987425" cy="140335"/>
              <wp:wrapNone/>
              <wp:docPr id="207" name="Forme 207"/>
              <a:graphic xmlns:a="http://schemas.openxmlformats.org/drawingml/2006/main">
                <a:graphicData uri="http://schemas.microsoft.com/office/word/2010/wordprocessingShape">
                  <wps:wsp>
                    <wps:cNvSpPr txBox="1"/>
                    <wps:spPr>
                      <a:xfrm>
                        <a:ext cx="987425" cy="140335"/>
                      </a:xfrm>
                      <a:prstGeom prst="rect"/>
                      <a:noFill/>
                    </wps:spPr>
                    <wps:txbx>
                      <w:txbxContent>
                        <w:p>
                          <w:pPr>
                            <w:pStyle w:val="Style220"/>
                            <w:keepNext w:val="0"/>
                            <w:keepLines w:val="0"/>
                            <w:widowControl w:val="0"/>
                            <w:shd w:val="clear" w:color="auto" w:fill="auto"/>
                            <w:spacing w:before="0" w:after="0" w:line="240" w:lineRule="auto"/>
                            <w:ind w:left="0" w:right="0" w:firstLine="0"/>
                            <w:jc w:val="left"/>
                          </w:pPr>
                          <w:r>
                            <w:rPr>
                              <w:rStyle w:val="CharStyle221"/>
                            </w:rPr>
                            <w:t xml:space="preserve">Page </w:t>
                          </w:r>
                          <w:fldSimple w:instr=" PAGE \* MERGEFORMAT ">
                            <w:r>
                              <w:rPr>
                                <w:rStyle w:val="CharStyle221"/>
                              </w:rPr>
                              <w:t>#</w:t>
                            </w:r>
                          </w:fldSimple>
                          <w:r>
                            <w:rPr>
                              <w:rStyle w:val="CharStyle221"/>
                            </w:rPr>
                            <w:t xml:space="preserve"> de 520</w:t>
                          </w:r>
                        </w:p>
                      </w:txbxContent>
                    </wps:txbx>
                    <wps:bodyPr wrap="none" lIns="0" tIns="0" rIns="0" bIns="0">
                      <a:spAutoFit/>
                    </wps:bodyPr>
                  </wps:wsp>
                </a:graphicData>
              </a:graphic>
            </wp:anchor>
          </w:drawing>
        </mc:Choice>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6115685</wp:posOffset>
              </wp:positionH>
              <wp:positionV relativeFrom="page">
                <wp:posOffset>8982710</wp:posOffset>
              </wp:positionV>
              <wp:extent cx="612775" cy="88265"/>
              <wp:wrapNone/>
              <wp:docPr id="209" name="Forme 209"/>
              <a:graphic xmlns:a="http://schemas.openxmlformats.org/drawingml/2006/main">
                <a:graphicData uri="http://schemas.microsoft.com/office/word/2010/wordprocessingShape">
                  <wps:wsp>
                    <wps:cNvSpPr txBox="1"/>
                    <wps:spPr>
                      <a:xfrm>
                        <a:ext cx="612775" cy="88265"/>
                      </a:xfrm>
                      <a:prstGeom prst="rect"/>
                      <a:noFill/>
                    </wps:spPr>
                    <wps:txbx>
                      <w:txbxContent>
                        <w:p>
                          <w:pPr>
                            <w:pStyle w:val="Style220"/>
                            <w:keepNext w:val="0"/>
                            <w:keepLines w:val="0"/>
                            <w:widowControl w:val="0"/>
                            <w:shd w:val="clear" w:color="auto" w:fill="auto"/>
                            <w:spacing w:before="0" w:after="0" w:line="240" w:lineRule="auto"/>
                            <w:ind w:left="0" w:right="0" w:firstLine="0"/>
                            <w:jc w:val="left"/>
                            <w:rPr>
                              <w:sz w:val="16"/>
                            </w:rPr>
                          </w:pPr>
                          <w:r>
                            <w:rPr>
                              <w:rStyle w:val="CharStyle221"/>
                              <w:rFonts w:ascii="Arial" w:hAnsi="Arial" w:cs="Arial" w:eastAsia="Arial"/>
                              <w:sz w:val="16"/>
                            </w:rPr>
                            <w:t xml:space="preserve">EHA 0005597</w:t>
                          </w:r>
                        </w:p>
                      </w:txbxContent>
                    </wps:txbx>
                    <wps:bodyPr wrap="none" lIns="0" tIns="0" rIns="0" bIns="0">
                      <a:spAutoFit/>
                    </wps:bodyPr>
                  </wps:wsp>
                </a:graphicData>
              </a:graphic>
            </wp:anchor>
          </w:drawing>
        </mc:Choice>
      </mc:AlternateContent>
    </w:r>
    <w:r>
      <mc:AlternateContent>
        <mc:Choice Requires="wps">
          <w:drawing>
            <wp:anchor distT="0" distB="0" distL="0" distR="0" simplePos="0" relativeHeight="62914716" behindDoc="1" locked="0" layoutInCell="1" allowOverlap="1">
              <wp:simplePos x="0" y="0"/>
              <wp:positionH relativeFrom="page">
                <wp:posOffset>3467100</wp:posOffset>
              </wp:positionH>
              <wp:positionV relativeFrom="page">
                <wp:posOffset>9549765</wp:posOffset>
              </wp:positionV>
              <wp:extent cx="987425" cy="140335"/>
              <wp:wrapNone/>
              <wp:docPr id="211" name="Forme 211"/>
              <a:graphic xmlns:a="http://schemas.openxmlformats.org/drawingml/2006/main">
                <a:graphicData uri="http://schemas.microsoft.com/office/word/2010/wordprocessingShape">
                  <wps:wsp>
                    <wps:cNvSpPr txBox="1"/>
                    <wps:spPr>
                      <a:xfrm>
                        <a:ext cx="987425" cy="140335"/>
                      </a:xfrm>
                      <a:prstGeom prst="rect"/>
                      <a:noFill/>
                    </wps:spPr>
                    <wps:txbx>
                      <w:txbxContent>
                        <w:p>
                          <w:pPr>
                            <w:pStyle w:val="Style220"/>
                            <w:keepNext w:val="0"/>
                            <w:keepLines w:val="0"/>
                            <w:widowControl w:val="0"/>
                            <w:shd w:val="clear" w:color="auto" w:fill="auto"/>
                            <w:spacing w:before="0" w:after="0" w:line="240" w:lineRule="auto"/>
                            <w:ind w:left="0" w:right="0" w:firstLine="0"/>
                            <w:jc w:val="left"/>
                          </w:pPr>
                          <w:r>
                            <w:rPr>
                              <w:rStyle w:val="CharStyle221"/>
                            </w:rPr>
                            <w:t xml:space="preserve">Page </w:t>
                          </w:r>
                          <w:fldSimple w:instr=" PAGE \* MERGEFORMAT ">
                            <w:r>
                              <w:rPr>
                                <w:rStyle w:val="CharStyle221"/>
                              </w:rPr>
                              <w:t>#</w:t>
                            </w:r>
                          </w:fldSimple>
                          <w:r>
                            <w:rPr>
                              <w:rStyle w:val="CharStyle221"/>
                            </w:rPr>
                            <w:t xml:space="preserve"> de 520</w:t>
                          </w:r>
                        </w:p>
                      </w:txbxContent>
                    </wps:txbx>
                    <wps:bodyPr wrap="none" lIns="0" tIns="0" rIns="0" bIns="0">
                      <a:spAutoFit/>
                    </wps:bodyPr>
                  </wps:wsp>
                </a:graphicData>
              </a:graphic>
            </wp:anchor>
          </w:drawing>
        </mc:Choice>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Woodcock TI, page 127-128,</w:t>
      </w:r>
    </w:p>
  </w:footnote>
  <w:footnote w:id="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Assessing America’s Vaccine Safety Systems, Part II, 21 mars 2024, déclaration liminaire de Gentry</w:t>
      </w:r>
    </w:p>
  </w:footnote>
  <w:footnote w:id="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Assessing America’s Vaccine Safety Systems, Part II, 21 mars 2024, déclaration liminaire de Gentry</w:t>
      </w:r>
    </w:p>
  </w:footnote>
  <w:footnote w:id="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Assessing America’s Vaccine Safety Systems, Part II, 21 mars 2024, déclaration liminaire de Gentry</w:t>
      </w:r>
    </w:p>
  </w:footnote>
  <w:footnote w:id="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R. Henry Olaisen, et al., Assessing the Longitudinal Impact of Physician-Patient Relationship on Functional Health, A</w:t>
      </w:r>
      <w:r>
        <w:rPr>
          <w:rStyle w:val="CharStyle3"/>
          <w:sz w:val="16"/>
        </w:rPr>
        <w:t xml:space="preserve">NNALS OF </w:t>
      </w:r>
      <w:r>
        <w:rPr>
          <w:rStyle w:val="CharStyle3"/>
        </w:rPr>
        <w:t>F</w:t>
      </w:r>
      <w:r>
        <w:rPr>
          <w:rStyle w:val="CharStyle3"/>
          <w:sz w:val="16"/>
        </w:rPr>
        <w:t xml:space="preserve">AMILY </w:t>
      </w:r>
      <w:r>
        <w:rPr>
          <w:rStyle w:val="CharStyle3"/>
        </w:rPr>
        <w:t>M</w:t>
      </w:r>
      <w:r>
        <w:rPr>
          <w:rStyle w:val="CharStyle3"/>
          <w:sz w:val="16"/>
        </w:rPr>
        <w:t xml:space="preserve">EDICINE </w:t>
      </w:r>
      <w:r>
        <w:rPr>
          <w:rStyle w:val="CharStyle3"/>
        </w:rPr>
        <w:t xml:space="preserve">(18 septembre 2020).</w:t>
      </w:r>
    </w:p>
  </w:footnote>
  <w:footnote w:id="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QT, Inc. c. Jacksonville, no 05 C 6387 (N.D. Ill. 15 mai 2006).</w:t>
      </w:r>
    </w:p>
  </w:footnote>
  <w:footnote w:id="8">
    <w:p>
      <w:pPr>
        <w:pStyle w:val="Style2"/>
        <w:keepNext w:val="0"/>
        <w:keepLines w:val="0"/>
        <w:widowControl w:val="0"/>
        <w:shd w:val="clear" w:color="auto" w:fill="auto"/>
        <w:spacing w:before="0" w:after="0" w:line="240" w:lineRule="auto"/>
        <w:ind w:left="0" w:right="0" w:firstLine="0"/>
        <w:jc w:val="left"/>
      </w:pPr>
      <w:r>
        <w:rPr>
          <w:rStyle w:val="CharStyle3"/>
        </w:rPr>
        <w:t>American</w:t>
        <w:footnoteRef/>
        <w:t xml:space="preserve"> Medical Association, Code of Medical Ethics, Avis 1.1.1, Relations patient-médecin.</w:t>
      </w:r>
    </w:p>
  </w:footnote>
  <w:footnote w:id="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Fallon E. Chipidza, et al., Impact of the Doctor-Patient Relationship, </w:t>
      </w:r>
      <w:r>
        <w:rPr>
          <w:rStyle w:val="CharStyle3"/>
          <w:smallCaps/>
        </w:rPr>
        <w:t>P</w:t>
      </w:r>
      <w:r>
        <w:rPr>
          <w:rStyle w:val="CharStyle3"/>
          <w:smallCaps/>
          <w:sz w:val="15"/>
        </w:rPr>
        <w:t>ub</w:t>
      </w:r>
      <w:r>
        <w:rPr>
          <w:rStyle w:val="CharStyle3"/>
          <w:smallCaps/>
        </w:rPr>
        <w:t>M</w:t>
      </w:r>
      <w:r>
        <w:rPr>
          <w:rStyle w:val="CharStyle3"/>
          <w:smallCaps/>
          <w:sz w:val="15"/>
        </w:rPr>
        <w:t xml:space="preserve">ed </w:t>
      </w:r>
      <w:r>
        <w:rPr>
          <w:rStyle w:val="CharStyle3"/>
          <w:smallCaps/>
        </w:rPr>
        <w:t>C</w:t>
      </w:r>
      <w:r>
        <w:rPr>
          <w:rStyle w:val="CharStyle3"/>
          <w:smallCaps/>
          <w:sz w:val="15"/>
        </w:rPr>
        <w:t>entral</w:t>
      </w:r>
      <w:r>
        <w:rPr>
          <w:rStyle w:val="CharStyle3"/>
        </w:rPr>
        <w:t xml:space="preserve"> (22 octobre 2015).</w:t>
      </w:r>
    </w:p>
  </w:footnote>
  <w:footnote w:id="1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Parth Shah, et al., Consentement éclairé, </w:t>
      </w:r>
      <w:r>
        <w:rPr>
          <w:rStyle w:val="CharStyle3"/>
          <w:smallCaps/>
        </w:rPr>
        <w:t>S</w:t>
      </w:r>
      <w:r>
        <w:rPr>
          <w:rStyle w:val="CharStyle3"/>
          <w:smallCaps/>
          <w:sz w:val="15"/>
        </w:rPr>
        <w:t>tat</w:t>
      </w:r>
      <w:r>
        <w:rPr>
          <w:rStyle w:val="CharStyle3"/>
          <w:smallCaps/>
        </w:rPr>
        <w:t>P</w:t>
      </w:r>
      <w:r>
        <w:rPr>
          <w:rStyle w:val="CharStyle3"/>
          <w:smallCaps/>
          <w:sz w:val="15"/>
        </w:rPr>
        <w:t>earls</w:t>
      </w:r>
      <w:r>
        <w:rPr>
          <w:rStyle w:val="CharStyle3"/>
        </w:rPr>
        <w:t xml:space="preserve"> (15 octobre 2024).</w:t>
      </w:r>
    </w:p>
  </w:footnote>
  <w:footnote w:id="12">
    <w:p>
      <w:pPr>
        <w:pStyle w:val="Style2"/>
        <w:keepNext w:val="0"/>
        <w:keepLines w:val="0"/>
        <w:widowControl w:val="0"/>
        <w:shd w:val="clear" w:color="auto" w:fill="auto"/>
        <w:spacing w:before="0" w:after="0" w:line="240" w:lineRule="auto"/>
        <w:ind w:left="0" w:right="0" w:firstLine="0"/>
        <w:jc w:val="left"/>
      </w:pPr>
      <w:r>
        <w:rPr>
          <w:rStyle w:val="CharStyle3"/>
        </w:rPr>
        <w:t>American</w:t>
        <w:footnoteRef/>
        <w:t xml:space="preserve"> Medical Association, Code of Medical Ethics, Avis 2.1.1, Consentement éclairé.</w:t>
      </w:r>
    </w:p>
  </w:footnote>
  <w:footnote w:id="13">
    <w:p>
      <w:pPr>
        <w:pStyle w:val="Style2"/>
        <w:keepNext w:val="0"/>
        <w:keepLines w:val="0"/>
        <w:widowControl w:val="0"/>
        <w:shd w:val="clear" w:color="auto" w:fill="auto"/>
        <w:spacing w:before="0" w:after="0" w:line="240" w:lineRule="auto"/>
        <w:ind w:left="0" w:right="0" w:firstLine="0"/>
        <w:jc w:val="left"/>
      </w:pPr>
      <w:r>
        <w:rPr>
          <w:rStyle w:val="CharStyle3"/>
        </w:rPr>
        <w:t>Document</w:t>
        <w:footnoteRef/>
        <w:t xml:space="preserve"> d’orientation: Autorisation d'utilisation d'urgence de produits médicaux et autorités connexes, U.S. F</w:t>
      </w:r>
      <w:r>
        <w:rPr>
          <w:rStyle w:val="CharStyle3"/>
          <w:sz w:val="16"/>
        </w:rPr>
        <w:t xml:space="preserve">OOD </w:t>
      </w:r>
      <w:r>
        <w:rPr>
          <w:rStyle w:val="CharStyle3"/>
        </w:rPr>
        <w:t xml:space="preserve">&amp; </w:t>
      </w:r>
      <w:r>
        <w:rPr>
          <w:rStyle w:val="CharStyle3"/>
          <w:smallCaps/>
        </w:rPr>
        <w:t>D</w:t>
      </w:r>
      <w:r>
        <w:rPr>
          <w:rStyle w:val="CharStyle3"/>
          <w:smallCaps/>
          <w:sz w:val="15"/>
        </w:rPr>
        <w:t xml:space="preserve">rug </w:t>
      </w:r>
      <w:r>
        <w:rPr>
          <w:rStyle w:val="CharStyle3"/>
          <w:smallCaps/>
        </w:rPr>
        <w:t>A</w:t>
      </w:r>
      <w:r>
        <w:rPr>
          <w:rStyle w:val="CharStyle3"/>
          <w:smallCaps/>
          <w:sz w:val="15"/>
        </w:rPr>
        <w:t>dmin</w:t>
      </w:r>
      <w:r>
        <w:rPr>
          <w:rStyle w:val="CharStyle3"/>
          <w:smallCaps/>
        </w:rPr>
        <w:t>.</w:t>
      </w:r>
      <w:r>
        <w:rPr>
          <w:rStyle w:val="CharStyle3"/>
        </w:rPr>
        <w:t xml:space="preserve"> (janvier 2017).</w:t>
      </w:r>
    </w:p>
  </w:footnote>
  <w:footnote w:id="1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Woodcock TI, au 871-873.</w:t>
      </w:r>
    </w:p>
  </w:footnote>
  <w:footnote w:id="1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Woodcock TI, à 37 ans.</w:t>
      </w:r>
    </w:p>
  </w:footnote>
  <w:footnote w:id="1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Vaccins &amp; Vaccinations, Ctrs. Pour le contrôle et la prévention des maladies, disponible à l’adresse suivante:</w:t>
      </w:r>
    </w:p>
    <w:p>
      <w:pPr>
        <w:pStyle w:val="Style2"/>
        <w:keepNext w:val="0"/>
        <w:keepLines w:val="0"/>
        <w:widowControl w:val="0"/>
        <w:shd w:val="clear" w:color="auto" w:fill="auto"/>
        <w:spacing w:before="0" w:after="0" w:line="240" w:lineRule="auto"/>
        <w:ind w:left="0" w:right="0" w:firstLine="0"/>
        <w:jc w:val="left"/>
      </w:pPr>
      <w:r>
        <w:rPr>
          <w:rStyle w:val="CharStyle3"/>
        </w:rPr>
        <w:t xml:space="preserve">https://www.cdc.gov/vaccines/hcp/about-vis/?CDC_AAref_Val=https://www.cdc.gov/vaccines/hcp/vis/about/facts- vis.html.</w:t>
      </w:r>
    </w:p>
  </w:footnote>
  <w:footnote w:id="17">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1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Notice, Third Amendment to Declaration Under the Public Readiness and Emergency Preparedness Act for Medical Countermeasures Against COVID-19, U.S. </w:t>
      </w:r>
      <w:r>
        <w:rPr>
          <w:rStyle w:val="CharStyle3"/>
          <w:smallCaps/>
        </w:rPr>
        <w:t>D</w:t>
      </w:r>
      <w:r>
        <w:rPr>
          <w:rStyle w:val="CharStyle3"/>
          <w:smallCaps/>
          <w:sz w:val="15"/>
        </w:rPr>
        <w:t>ep</w:t>
      </w:r>
      <w:r>
        <w:rPr>
          <w:rStyle w:val="CharStyle3"/>
          <w:smallCaps/>
        </w:rPr>
        <w:t>’</w:t>
      </w:r>
      <w:r>
        <w:rPr>
          <w:rStyle w:val="CharStyle3"/>
          <w:smallCaps/>
          <w:sz w:val="15"/>
        </w:rPr>
        <w:t xml:space="preserve">t of </w:t>
      </w:r>
      <w:r>
        <w:rPr>
          <w:rStyle w:val="CharStyle3"/>
          <w:smallCaps/>
        </w:rPr>
        <w:t>H</w:t>
      </w:r>
      <w:r>
        <w:rPr>
          <w:rStyle w:val="CharStyle3"/>
          <w:smallCaps/>
          <w:sz w:val="15"/>
        </w:rPr>
        <w:t>ealth</w:t>
      </w:r>
      <w:r>
        <w:rPr>
          <w:rStyle w:val="CharStyle3"/>
        </w:rPr>
        <w:t xml:space="preserve"> &amp; </w:t>
      </w:r>
      <w:r>
        <w:rPr>
          <w:rStyle w:val="CharStyle3"/>
          <w:smallCaps/>
        </w:rPr>
        <w:t>H</w:t>
      </w:r>
      <w:r>
        <w:rPr>
          <w:rStyle w:val="CharStyle3"/>
          <w:smallCaps/>
          <w:sz w:val="15"/>
        </w:rPr>
        <w:t xml:space="preserve">uman </w:t>
      </w:r>
      <w:r>
        <w:rPr>
          <w:rStyle w:val="CharStyle3"/>
          <w:smallCaps/>
        </w:rPr>
        <w:t>S</w:t>
      </w:r>
      <w:r>
        <w:rPr>
          <w:rStyle w:val="CharStyle3"/>
          <w:smallCaps/>
          <w:sz w:val="15"/>
        </w:rPr>
        <w:t>ervices</w:t>
      </w:r>
      <w:r>
        <w:rPr>
          <w:rStyle w:val="CharStyle3"/>
        </w:rPr>
        <w:t xml:space="preserve"> (24 août 2020).</w:t>
      </w:r>
    </w:p>
  </w:footnote>
  <w:footnote w:id="1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Tendances en matière d’administration de vaccins aux États-Unis, T</w:t>
      </w:r>
      <w:r>
        <w:rPr>
          <w:rStyle w:val="CharStyle3"/>
          <w:sz w:val="16"/>
        </w:rPr>
        <w:t xml:space="preserve">HE </w:t>
      </w:r>
      <w:r>
        <w:rPr>
          <w:rStyle w:val="CharStyle3"/>
        </w:rPr>
        <w:t xml:space="preserve">IQVIA I</w:t>
      </w:r>
      <w:r>
        <w:rPr>
          <w:rStyle w:val="CharStyle3"/>
          <w:sz w:val="16"/>
        </w:rPr>
        <w:t xml:space="preserve">NSTITUTE </w:t>
      </w:r>
      <w:r>
        <w:rPr>
          <w:rStyle w:val="CharStyle3"/>
        </w:rPr>
        <w:t xml:space="preserve">(13 janvier 2023).</w:t>
      </w:r>
    </w:p>
  </w:footnote>
  <w:footnote w:id="2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Andis Robeznieks, AMA, s’oppose à la décision du HHS d’élargir le champ d’exercice des pharmaciens, AMA (24 août 2020).</w:t>
      </w:r>
    </w:p>
  </w:footnote>
  <w:footnote w:id="21">
    <w:p>
      <w:pPr>
        <w:pStyle w:val="Style2"/>
        <w:keepNext w:val="0"/>
        <w:keepLines w:val="0"/>
        <w:widowControl w:val="0"/>
        <w:shd w:val="clear" w:color="auto" w:fill="auto"/>
        <w:spacing w:before="0" w:after="0" w:line="240" w:lineRule="auto"/>
        <w:ind w:left="0" w:right="0" w:firstLine="0"/>
        <w:jc w:val="left"/>
      </w:pPr>
      <w:r>
        <w:rPr>
          <w:rStyle w:val="CharStyle3"/>
        </w:rPr>
        <w:t xml:space="preserve">Transcription de l'audience sur les mandats en matière de</w:t>
        <w:footnoteRef/>
        <w:t xml:space="preserve"> vaccins Page 42</w:t>
      </w:r>
    </w:p>
  </w:footnote>
  <w:footnote w:id="2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Timothy Bella, Les affirmations discréditées d’un scientifique spécialiste des vaccins ont renforcé un mouvement de désinformation, </w:t>
      </w:r>
      <w:r>
        <w:rPr>
          <w:rStyle w:val="CharStyle3"/>
          <w:smallCaps/>
        </w:rPr>
        <w:t>T</w:t>
      </w:r>
      <w:r>
        <w:rPr>
          <w:rStyle w:val="CharStyle3"/>
          <w:smallCaps/>
          <w:sz w:val="15"/>
        </w:rPr>
        <w:t xml:space="preserve">he </w:t>
      </w:r>
      <w:r>
        <w:rPr>
          <w:rStyle w:val="CharStyle3"/>
          <w:smallCaps/>
        </w:rPr>
        <w:t>W</w:t>
      </w:r>
      <w:r>
        <w:rPr>
          <w:rStyle w:val="CharStyle3"/>
          <w:smallCaps/>
          <w:sz w:val="15"/>
        </w:rPr>
        <w:t>ash</w:t>
      </w:r>
      <w:r>
        <w:rPr>
          <w:rStyle w:val="CharStyle3"/>
          <w:smallCaps/>
        </w:rPr>
        <w:t xml:space="preserve">. P</w:t>
      </w:r>
      <w:r>
        <w:rPr>
          <w:rStyle w:val="CharStyle3"/>
          <w:smallCaps/>
          <w:sz w:val="15"/>
        </w:rPr>
        <w:t>ost</w:t>
      </w:r>
      <w:r>
        <w:rPr>
          <w:rStyle w:val="CharStyle3"/>
        </w:rPr>
        <w:t xml:space="preserve"> (24 janvier 2022).</w:t>
      </w:r>
    </w:p>
  </w:footnote>
  <w:footnote w:id="2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Alicia Ault, ABIM révoque la certification de deux médecins accusés de désinformation COVID, </w:t>
      </w:r>
      <w:r>
        <w:rPr>
          <w:rStyle w:val="CharStyle3"/>
          <w:smallCaps/>
        </w:rPr>
        <w:t>M</w:t>
      </w:r>
      <w:r>
        <w:rPr>
          <w:rStyle w:val="CharStyle3"/>
          <w:smallCaps/>
          <w:sz w:val="15"/>
        </w:rPr>
        <w:t xml:space="preserve">edscape </w:t>
      </w:r>
      <w:r>
        <w:rPr>
          <w:rStyle w:val="CharStyle3"/>
        </w:rPr>
        <w:t xml:space="preserve">(15 août 2024).</w:t>
      </w:r>
    </w:p>
  </w:footnote>
  <w:footnote w:id="2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Docteur, où es-tu? Érosion pandémique de la relation médecin-patient: Audition avant de sélectionner le sous-comm. sur la pandémie de coronavirus, 118e Cong. 1 (14 septembre 2023).</w:t>
      </w:r>
    </w:p>
  </w:footnote>
  <w:footnote w:id="2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Steven Lee Myers, California Approves Bill to Punish Doctors Who Spread False Information,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 xml:space="preserve">imes </w:t>
      </w:r>
      <w:r>
        <w:rPr>
          <w:rStyle w:val="CharStyle3"/>
        </w:rPr>
        <w:t xml:space="preserve">(29 août 2022).</w:t>
      </w:r>
    </w:p>
  </w:footnote>
  <w:footnote w:id="2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Docteur, où es-tu? Supra note 18.</w:t>
      </w:r>
    </w:p>
  </w:footnote>
  <w:footnote w:id="2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Sean Salai, Californie, abroge la loi sur la désinformation COVID, s'inclinant devant la pression juridique, The Wash. Horaires (2 octobre 2023).</w:t>
      </w:r>
    </w:p>
  </w:footnote>
  <w:footnote w:id="2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Parce que je l'ai dit: Examen de la science et de l'impact des mandats de vaccination contre la COVID-19: Audition avant de sélectionner le sous-comm. sur la pandémie de coronavirus, 118e Cong. 1 (27 juillet 2023).</w:t>
      </w:r>
    </w:p>
  </w:footnote>
  <w:footnote w:id="2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Kevin Bardosh, et al., The unintended consequences of COVID-19 vaccine policy: pourquoi les mandats, les passeports et les restrictions peuvent causer plus de tort que de bien, BMJ G</w:t>
      </w:r>
      <w:r>
        <w:rPr>
          <w:rStyle w:val="CharStyle3"/>
          <w:sz w:val="16"/>
        </w:rPr>
        <w:t xml:space="preserve">LOBAL </w:t>
      </w:r>
      <w:r>
        <w:rPr>
          <w:rStyle w:val="CharStyle3"/>
        </w:rPr>
        <w:t>H</w:t>
      </w:r>
      <w:r>
        <w:rPr>
          <w:rStyle w:val="CharStyle3"/>
          <w:sz w:val="16"/>
        </w:rPr>
        <w:t>EALTH</w:t>
      </w:r>
      <w:r>
        <w:rPr>
          <w:rStyle w:val="CharStyle3"/>
        </w:rPr>
        <w:t xml:space="preserve"> (25 mai 2022).</w:t>
      </w:r>
    </w:p>
  </w:footnote>
  <w:footnote w:id="30">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3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Parce que je l'ai dit, supra, note 22, p. 35.</w:t>
      </w:r>
    </w:p>
  </w:footnote>
  <w:footnote w:id="3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(déclaration de Jeffrey A. Singer, M.D.)</w:t>
      </w:r>
    </w:p>
  </w:footnote>
  <w:footnote w:id="33">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Id. à 34.</w:t>
      </w:r>
    </w:p>
  </w:footnote>
  <w:footnote w:id="3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Gail A. Van Norman, Off-Label Marketing of Drugs, </w:t>
      </w:r>
      <w:r>
        <w:rPr>
          <w:rStyle w:val="CharStyle3"/>
          <w:smallCaps/>
        </w:rPr>
        <w:t>P</w:t>
      </w:r>
      <w:r>
        <w:rPr>
          <w:rStyle w:val="CharStyle3"/>
          <w:smallCaps/>
          <w:sz w:val="15"/>
        </w:rPr>
        <w:t>ub</w:t>
      </w:r>
      <w:r>
        <w:rPr>
          <w:rStyle w:val="CharStyle3"/>
          <w:smallCaps/>
        </w:rPr>
        <w:t>M</w:t>
      </w:r>
      <w:r>
        <w:rPr>
          <w:rStyle w:val="CharStyle3"/>
          <w:smallCaps/>
          <w:sz w:val="15"/>
        </w:rPr>
        <w:t xml:space="preserve">ed </w:t>
      </w:r>
      <w:r>
        <w:rPr>
          <w:rStyle w:val="CharStyle3"/>
          <w:smallCaps/>
        </w:rPr>
        <w:t>C</w:t>
      </w:r>
      <w:r>
        <w:rPr>
          <w:rStyle w:val="CharStyle3"/>
          <w:smallCaps/>
          <w:sz w:val="15"/>
        </w:rPr>
        <w:t>entral</w:t>
      </w:r>
      <w:r>
        <w:rPr>
          <w:rStyle w:val="CharStyle3"/>
        </w:rPr>
        <w:t xml:space="preserve"> (8 février 2023).</w:t>
      </w:r>
    </w:p>
  </w:footnote>
  <w:footnote w:id="3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Jen Christensen, FDA, règle un procès sur le contenu en ivermectine qui, selon les médecins, a nui à leur pratique, CNN (27 mars 2024).</w:t>
      </w:r>
    </w:p>
  </w:footnote>
  <w:footnote w:id="3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State of the Union, CNN (29 août 2021).</w:t>
      </w:r>
    </w:p>
  </w:footnote>
  <w:footnote w:id="37">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3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Kevin McGill, Court relance le procès des médecins en affirmant que la FDA a outrepassé son autorité avec une campagne anti-ivermectine, A</w:t>
      </w:r>
      <w:r>
        <w:rPr>
          <w:rStyle w:val="CharStyle3"/>
          <w:sz w:val="16"/>
        </w:rPr>
        <w:t xml:space="preserve">SSOCIATED </w:t>
      </w:r>
      <w:r>
        <w:rPr>
          <w:rStyle w:val="CharStyle3"/>
        </w:rPr>
        <w:t>P</w:t>
      </w:r>
      <w:r>
        <w:rPr>
          <w:rStyle w:val="CharStyle3"/>
          <w:sz w:val="16"/>
        </w:rPr>
        <w:t xml:space="preserve">RESS </w:t>
      </w:r>
      <w:r>
        <w:rPr>
          <w:rStyle w:val="CharStyle3"/>
        </w:rPr>
        <w:t xml:space="preserve">(1er septembre 2023).</w:t>
      </w:r>
    </w:p>
  </w:footnote>
  <w:footnote w:id="3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Paul Bond, FDA Settles Lawsuit over Ivermectin Social Media Posts, </w:t>
      </w:r>
      <w:r>
        <w:rPr>
          <w:rStyle w:val="CharStyle3"/>
          <w:smallCaps/>
        </w:rPr>
        <w:t>N</w:t>
      </w:r>
      <w:r>
        <w:rPr>
          <w:rStyle w:val="CharStyle3"/>
          <w:smallCaps/>
          <w:sz w:val="15"/>
        </w:rPr>
        <w:t>ewsweek</w:t>
      </w:r>
      <w:r>
        <w:rPr>
          <w:rStyle w:val="CharStyle3"/>
        </w:rPr>
        <w:t xml:space="preserve"> (22 mars 2024).</w:t>
      </w:r>
    </w:p>
  </w:footnote>
  <w:footnote w:id="4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en général, Transcription de l'audition de la relation patient-médecin</w:t>
      </w:r>
    </w:p>
  </w:footnote>
  <w:footnote w:id="4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Docteur, où es-tu? Supra note 18, p. 22.</w:t>
      </w:r>
    </w:p>
  </w:footnote>
  <w:footnote w:id="4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à 14 h.</w:t>
      </w:r>
    </w:p>
  </w:footnote>
  <w:footnote w:id="43">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Id. à 15.</w:t>
      </w:r>
    </w:p>
  </w:footnote>
  <w:footnote w:id="4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(témoignage écrit du Dr Jerry Williams, M.D.).</w:t>
      </w:r>
    </w:p>
  </w:footnote>
  <w:footnote w:id="45">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Id. à 22.</w:t>
      </w:r>
    </w:p>
  </w:footnote>
  <w:footnote w:id="46">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Anjali Sundaram, les données Yelp montrent que 60% des fermetures d'entreprises en raison de la pandémie de coronavirus sont maintenant permanentes, CNBC (16 septembre 2020).</w:t>
      </w:r>
    </w:p>
  </w:footnote>
  <w:footnote w:id="47">
    <w:p>
      <w:pPr>
        <w:pStyle w:val="Style2"/>
        <w:keepNext w:val="0"/>
        <w:keepLines w:val="0"/>
        <w:widowControl w:val="0"/>
        <w:shd w:val="clear" w:color="auto" w:fill="auto"/>
        <w:spacing w:before="0" w:after="0" w:line="240" w:lineRule="auto"/>
        <w:ind w:left="0" w:right="0" w:firstLine="140"/>
        <w:jc w:val="left"/>
      </w:pPr>
      <w:r>
        <w:rPr>
          <w:rStyle w:val="CharStyle3"/>
        </w:rPr>
        <w:t xml:space="preserve">L'industrie de la</w:t>
        <w:footnoteRef/>
        <w:t xml:space="preserve"> restauration en chute libre; 10 000 Close in Three Months, Nat’l Restaurant Association (7 décembre 2020).</w:t>
      </w:r>
    </w:p>
  </w:footnote>
  <w:footnote w:id="48">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Erin Gilliam Haije, How the Retail Industry Has Been Affected by The Global Pandemic, </w:t>
      </w:r>
      <w:r>
        <w:rPr>
          <w:rStyle w:val="CharStyle3"/>
          <w:smallCaps/>
        </w:rPr>
        <w:t>MO</w:t>
      </w:r>
      <w:r>
        <w:rPr>
          <w:rStyle w:val="CharStyle3"/>
          <w:smallCaps/>
          <w:sz w:val="15"/>
        </w:rPr>
        <w:t>pinion</w:t>
      </w:r>
      <w:r>
        <w:rPr>
          <w:rStyle w:val="CharStyle3"/>
        </w:rPr>
        <w:t xml:space="preserve"> (28 janvier 2021).</w:t>
      </w:r>
    </w:p>
  </w:footnote>
  <w:footnote w:id="49">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Voir, de manière générale, Steve Cuozzo, Years after the end of COVID, NYC remains trapped in «Long Lockdown», N.Y. </w:t>
      </w:r>
      <w:r>
        <w:rPr>
          <w:rStyle w:val="CharStyle3"/>
          <w:smallCaps/>
        </w:rPr>
        <w:t>P</w:t>
      </w:r>
      <w:r>
        <w:rPr>
          <w:rStyle w:val="CharStyle3"/>
          <w:smallCaps/>
          <w:sz w:val="15"/>
        </w:rPr>
        <w:t>ost</w:t>
      </w:r>
      <w:r>
        <w:rPr>
          <w:rStyle w:val="CharStyle3"/>
        </w:rPr>
        <w:t xml:space="preserve"> (22 juin 2024); Joe Nocera &amp; Bethany McLean, Les confinements COVID étaient une expérience géante. C'était un échec. Une leçon essentielle de la pandémie, N.Y. M</w:t>
      </w:r>
      <w:r>
        <w:rPr>
          <w:rStyle w:val="CharStyle3"/>
          <w:sz w:val="16"/>
        </w:rPr>
        <w:t xml:space="preserve">AGAZINE </w:t>
      </w:r>
      <w:r>
        <w:rPr>
          <w:rStyle w:val="CharStyle3"/>
        </w:rPr>
        <w:t xml:space="preserve">(30 octobre 2023).</w:t>
      </w:r>
    </w:p>
  </w:footnote>
  <w:footnote w:id="50">
    <w:p>
      <w:pPr>
        <w:pStyle w:val="Style2"/>
        <w:keepNext w:val="0"/>
        <w:keepLines w:val="0"/>
        <w:widowControl w:val="0"/>
        <w:shd w:val="clear" w:color="auto" w:fill="auto"/>
        <w:spacing w:before="0" w:after="0" w:line="240" w:lineRule="auto"/>
        <w:ind w:left="0" w:right="0" w:firstLine="140"/>
        <w:jc w:val="left"/>
      </w:pPr>
      <w:r>
        <w:rPr>
          <w:rStyle w:val="CharStyle3"/>
          <w:smallCaps/>
          <w:sz w:val="15"/>
        </w:rPr>
        <w:t>U.S.</w:t>
        <w:footnoteRef/>
        <w:t xml:space="preserve"> </w:t>
      </w:r>
      <w:r>
        <w:rPr>
          <w:rStyle w:val="CharStyle3"/>
          <w:smallCaps/>
        </w:rPr>
        <w:t xml:space="preserve">B ureau de </w:t>
      </w:r>
      <w:r>
        <w:rPr>
          <w:rStyle w:val="CharStyle3"/>
          <w:smallCaps/>
          <w:sz w:val="15"/>
        </w:rPr>
        <w:t>L</w:t>
      </w:r>
      <w:r>
        <w:rPr>
          <w:rStyle w:val="CharStyle3"/>
          <w:smallCaps/>
          <w:sz w:val="15"/>
        </w:rPr>
        <w:t>ab</w:t>
      </w:r>
      <w:r>
        <w:rPr>
          <w:rStyle w:val="CharStyle3"/>
          <w:smallCaps/>
          <w:sz w:val="15"/>
        </w:rPr>
        <w:t xml:space="preserve">. S</w:t>
      </w:r>
      <w:r>
        <w:rPr>
          <w:rStyle w:val="CharStyle3"/>
          <w:smallCaps/>
          <w:sz w:val="15"/>
        </w:rPr>
        <w:t>tat</w:t>
      </w:r>
      <w:r>
        <w:rPr>
          <w:rStyle w:val="CharStyle3"/>
          <w:smallCaps/>
          <w:sz w:val="15"/>
        </w:rPr>
        <w:t xml:space="preserve">., R</w:t>
      </w:r>
      <w:r>
        <w:rPr>
          <w:rStyle w:val="CharStyle3"/>
          <w:smallCaps/>
          <w:sz w:val="15"/>
        </w:rPr>
        <w:t xml:space="preserve">esults of the</w:t>
      </w:r>
      <w:r>
        <w:rPr>
          <w:rStyle w:val="CharStyle3"/>
        </w:rPr>
        <w:t xml:space="preserve"> 2020 </w:t>
      </w:r>
      <w:r>
        <w:rPr>
          <w:rStyle w:val="CharStyle3"/>
          <w:smallCaps/>
        </w:rPr>
        <w:t>B</w:t>
      </w:r>
      <w:r>
        <w:rPr>
          <w:rStyle w:val="CharStyle3"/>
          <w:smallCaps/>
          <w:sz w:val="15"/>
        </w:rPr>
        <w:t xml:space="preserve">usines R </w:t>
      </w:r>
      <w:r>
        <w:rPr>
          <w:rStyle w:val="CharStyle3"/>
          <w:smallCaps/>
          <w:sz w:val="15"/>
        </w:rPr>
        <w:t xml:space="preserve">esponse </w:t>
      </w:r>
      <w:r>
        <w:rPr>
          <w:rStyle w:val="CharStyle3"/>
          <w:smallCaps/>
        </w:rPr>
        <w:t>S</w:t>
      </w:r>
      <w:r>
        <w:rPr>
          <w:rStyle w:val="CharStyle3"/>
          <w:smallCaps/>
          <w:sz w:val="15"/>
        </w:rPr>
        <w:t>urvey</w:t>
      </w:r>
      <w:r>
        <w:rPr>
          <w:rStyle w:val="CharStyle3"/>
        </w:rPr>
        <w:t xml:space="preserve"> (2020).</w:t>
      </w:r>
    </w:p>
  </w:footnote>
  <w:footnote w:id="51">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Jane Callen, Weekly Census Bureau Survey Fournit des informations en temps quasi réel sur les entreprises, U.S. </w:t>
      </w:r>
      <w:r>
        <w:rPr>
          <w:rStyle w:val="CharStyle3"/>
          <w:smallCaps/>
        </w:rPr>
        <w:t>C</w:t>
      </w:r>
      <w:r>
        <w:rPr>
          <w:rStyle w:val="CharStyle3"/>
          <w:smallCaps/>
          <w:sz w:val="15"/>
        </w:rPr>
        <w:t xml:space="preserve">ensus </w:t>
      </w:r>
      <w:r>
        <w:rPr>
          <w:rStyle w:val="CharStyle3"/>
          <w:smallCaps/>
        </w:rPr>
        <w:t>B</w:t>
      </w:r>
      <w:r>
        <w:rPr>
          <w:rStyle w:val="CharStyle3"/>
          <w:smallCaps/>
          <w:sz w:val="15"/>
        </w:rPr>
        <w:t xml:space="preserve">ureau </w:t>
      </w:r>
      <w:r>
        <w:rPr>
          <w:rStyle w:val="CharStyle3"/>
        </w:rPr>
        <w:t xml:space="preserve">(14 mai 2020).</w:t>
      </w:r>
    </w:p>
  </w:footnote>
  <w:footnote w:id="52">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Tamara Charm, et al., The great consumer shift: Dix graphiques qui montrent comment le comportement d'achat des États-Unis évolue, </w:t>
      </w:r>
      <w:r>
        <w:rPr>
          <w:rStyle w:val="CharStyle3"/>
          <w:smallCaps/>
        </w:rPr>
        <w:t>M</w:t>
      </w:r>
      <w:r>
        <w:rPr>
          <w:rStyle w:val="CharStyle3"/>
          <w:smallCaps/>
          <w:sz w:val="15"/>
        </w:rPr>
        <w:t>c</w:t>
      </w:r>
      <w:r>
        <w:rPr>
          <w:rStyle w:val="CharStyle3"/>
          <w:smallCaps/>
        </w:rPr>
        <w:t>K</w:t>
      </w:r>
      <w:r>
        <w:rPr>
          <w:rStyle w:val="CharStyle3"/>
          <w:smallCaps/>
          <w:sz w:val="15"/>
        </w:rPr>
        <w:t>insey</w:t>
      </w:r>
      <w:r>
        <w:rPr>
          <w:rStyle w:val="CharStyle3"/>
        </w:rPr>
        <w:t xml:space="preserve"> &amp; </w:t>
      </w:r>
      <w:r>
        <w:rPr>
          <w:rStyle w:val="CharStyle3"/>
          <w:smallCaps/>
        </w:rPr>
        <w:t>C</w:t>
      </w:r>
      <w:r>
        <w:rPr>
          <w:rStyle w:val="CharStyle3"/>
          <w:smallCaps/>
          <w:sz w:val="15"/>
        </w:rPr>
        <w:t>o</w:t>
      </w:r>
      <w:r>
        <w:rPr>
          <w:rStyle w:val="CharStyle3"/>
          <w:smallCaps/>
        </w:rPr>
        <w:t>.</w:t>
      </w:r>
      <w:r>
        <w:rPr>
          <w:rStyle w:val="CharStyle3"/>
        </w:rPr>
        <w:t xml:space="preserve"> (4 août 2020).</w:t>
      </w:r>
    </w:p>
  </w:footnote>
  <w:footnote w:id="53">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 Impact of COVID Pandemic on eCommerce, Int’l Trade Administration, disponible à l’adresse </w:t>
      </w:r>
      <w:r>
        <w:fldChar w:fldCharType="begin"/>
      </w:r>
      <w:r>
        <w:rPr/>
        <w:instrText> HYPERLINK "https://www.trade.gov/impact-covid-pandemic-ecommerce" </w:instrText>
      </w:r>
      <w:r>
        <w:fldChar w:fldCharType="separate"/>
      </w:r>
      <w:r>
        <w:rPr>
          <w:rStyle w:val="CharStyle3"/>
        </w:rPr>
        <w:t>https://www.trade.gov/impact-covid-pandemic-ecommerce</w:t>
      </w:r>
      <w:r>
        <w:fldChar w:fldCharType="end"/>
      </w:r>
      <w:r>
        <w:rPr>
          <w:rStyle w:val="CharStyle3"/>
        </w:rPr>
        <w:t xml:space="preserve"> (dernière visite le 21 octobre 2024).</w:t>
      </w:r>
    </w:p>
  </w:footnote>
  <w:footnote w:id="54">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Alexander W. Bartik, et al., The impact of COVID-19 on small business outcomes and expectations (L’impact de la COVID-19 sur les résultats et les attentes des petites entreprises), PNAS (10 juillet 2020).</w:t>
      </w:r>
    </w:p>
  </w:footnote>
  <w:footnote w:id="55">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Emily Garr Pacetti &amp; Maria Thompson, Smallest Firms Reveal Barriers to Economic Inclusion: Leçons tirées des programmes de soutien en cas de pandémie, E</w:t>
      </w:r>
      <w:r>
        <w:rPr>
          <w:rStyle w:val="CharStyle3"/>
          <w:sz w:val="16"/>
        </w:rPr>
        <w:t xml:space="preserve">CONOMIC </w:t>
      </w:r>
      <w:r>
        <w:rPr>
          <w:rStyle w:val="CharStyle3"/>
        </w:rPr>
        <w:t>I</w:t>
      </w:r>
      <w:r>
        <w:rPr>
          <w:rStyle w:val="CharStyle3"/>
          <w:sz w:val="16"/>
        </w:rPr>
        <w:t xml:space="preserve">NNOVATION </w:t>
      </w:r>
      <w:r>
        <w:rPr>
          <w:rStyle w:val="CharStyle3"/>
        </w:rPr>
        <w:t>G</w:t>
      </w:r>
      <w:r>
        <w:rPr>
          <w:rStyle w:val="CharStyle3"/>
          <w:sz w:val="16"/>
        </w:rPr>
        <w:t xml:space="preserve">ROUP </w:t>
      </w:r>
      <w:r>
        <w:rPr>
          <w:rStyle w:val="CharStyle3"/>
        </w:rPr>
        <w:t xml:space="preserve">(5 novembre 2021) (De nombreux non-employeurs ont fait état d’incertitudes quant aux différents programmes et exigences d’admissibilité, ou n’avaient pas les relations bancaires nécessaires pour obtenir du financement. En ce qui concerne le PPP en particulier, 57 % des entreprises non patronales ont reçu la totalité du financement qu'elles recherchaient, comparativement à 77 % des entreprises patronales. Sur les 65 % de non-employeurs qui n’ont pas demandé le PPP, les raisons les plus citées étaient que le propriétaire s’attendait à ce que « l’entreprise ne remplisse pas les conditions pour bénéficier d’un prêt ou d’une remise de prêt » et que « le programme/processus était trop déroutant ».</w:t>
      </w:r>
    </w:p>
  </w:footnote>
  <w:footnote w:id="56">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Leland D. Crane, et al., Business Exit During the COVID-19 Pandemic: Mesures non traditionnelles dans un contexte historique à 5, F</w:t>
      </w:r>
      <w:r>
        <w:rPr>
          <w:rStyle w:val="CharStyle3"/>
          <w:sz w:val="16"/>
        </w:rPr>
        <w:t xml:space="preserve">INANCE ET </w:t>
      </w:r>
      <w:r>
        <w:rPr>
          <w:rStyle w:val="CharStyle3"/>
        </w:rPr>
        <w:t>E</w:t>
      </w:r>
      <w:r>
        <w:rPr>
          <w:rStyle w:val="CharStyle3"/>
          <w:sz w:val="16"/>
        </w:rPr>
        <w:t xml:space="preserve">CONOMICS </w:t>
      </w:r>
      <w:r>
        <w:rPr>
          <w:rStyle w:val="CharStyle3"/>
        </w:rPr>
        <w:t>D</w:t>
      </w:r>
      <w:r>
        <w:rPr>
          <w:rStyle w:val="CharStyle3"/>
          <w:sz w:val="16"/>
        </w:rPr>
        <w:t xml:space="preserve">ISCUSSION </w:t>
      </w:r>
      <w:r>
        <w:rPr>
          <w:rStyle w:val="CharStyle3"/>
        </w:rPr>
        <w:t>S</w:t>
      </w:r>
      <w:r>
        <w:rPr>
          <w:rStyle w:val="CharStyle3"/>
          <w:sz w:val="16"/>
        </w:rPr>
        <w:t xml:space="preserve">ERIES </w:t>
      </w:r>
      <w:r>
        <w:rPr>
          <w:rStyle w:val="CharStyle3"/>
        </w:rPr>
        <w:t xml:space="preserve">(avril 2021).</w:t>
      </w:r>
    </w:p>
  </w:footnote>
  <w:footnote w:id="57">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Hanna Love &amp; Mike Powe, Les petites entreprises rurales ont besoin de solutions locales pour survivre, </w:t>
      </w:r>
      <w:r>
        <w:rPr>
          <w:rStyle w:val="CharStyle3"/>
          <w:smallCaps/>
        </w:rPr>
        <w:t>B</w:t>
      </w:r>
      <w:r>
        <w:rPr>
          <w:rStyle w:val="CharStyle3"/>
          <w:smallCaps/>
          <w:sz w:val="15"/>
        </w:rPr>
        <w:t xml:space="preserve">rookings </w:t>
      </w:r>
      <w:r>
        <w:rPr>
          <w:rStyle w:val="CharStyle3"/>
          <w:smallCaps/>
        </w:rPr>
        <w:t>I</w:t>
      </w:r>
      <w:r>
        <w:rPr>
          <w:rStyle w:val="CharStyle3"/>
          <w:smallCaps/>
          <w:sz w:val="15"/>
        </w:rPr>
        <w:t xml:space="preserve">nstitution </w:t>
      </w:r>
      <w:r>
        <w:rPr>
          <w:rStyle w:val="CharStyle3"/>
        </w:rPr>
        <w:t xml:space="preserve">(1er décembre 2020).</w:t>
      </w:r>
    </w:p>
  </w:footnote>
  <w:footnote w:id="58">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Michael Powe &amp; Matthew Wagner, The Impact of COVID-19 on Small Businesses, Findings from Main Street America’s Small Business Survey, N</w:t>
      </w:r>
      <w:r>
        <w:rPr>
          <w:rStyle w:val="CharStyle3"/>
          <w:sz w:val="16"/>
        </w:rPr>
        <w:t xml:space="preserve">ATIONAL </w:t>
      </w:r>
      <w:r>
        <w:rPr>
          <w:rStyle w:val="CharStyle3"/>
        </w:rPr>
        <w:t>M</w:t>
      </w:r>
      <w:r>
        <w:rPr>
          <w:rStyle w:val="CharStyle3"/>
          <w:sz w:val="16"/>
        </w:rPr>
        <w:t xml:space="preserve">AIN </w:t>
      </w:r>
      <w:r>
        <w:rPr>
          <w:rStyle w:val="CharStyle3"/>
        </w:rPr>
        <w:t>S</w:t>
      </w:r>
      <w:r>
        <w:rPr>
          <w:rStyle w:val="CharStyle3"/>
          <w:sz w:val="16"/>
        </w:rPr>
        <w:t xml:space="preserve">TREET </w:t>
      </w:r>
      <w:r>
        <w:rPr>
          <w:rStyle w:val="CharStyle3"/>
        </w:rPr>
        <w:t>C</w:t>
      </w:r>
      <w:r>
        <w:rPr>
          <w:rStyle w:val="CharStyle3"/>
          <w:sz w:val="16"/>
        </w:rPr>
        <w:t xml:space="preserve">ENTER </w:t>
      </w:r>
      <w:r>
        <w:rPr>
          <w:rStyle w:val="CharStyle3"/>
        </w:rPr>
        <w:t>(2020).</w:t>
      </w:r>
    </w:p>
  </w:footnote>
  <w:footnote w:id="59">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Yoshie Sano &amp; Sheila Mammen, Mitigating the Impact of the Coronavirus Pandemic on Rural Low-Income Families, J F</w:t>
      </w:r>
      <w:r>
        <w:rPr>
          <w:rStyle w:val="CharStyle3"/>
          <w:sz w:val="16"/>
        </w:rPr>
        <w:t xml:space="preserve">AM </w:t>
      </w:r>
      <w:r>
        <w:rPr>
          <w:rStyle w:val="CharStyle3"/>
        </w:rPr>
        <w:t>E</w:t>
      </w:r>
      <w:r>
        <w:rPr>
          <w:rStyle w:val="CharStyle3"/>
          <w:sz w:val="16"/>
        </w:rPr>
        <w:t xml:space="preserve">CON </w:t>
      </w:r>
      <w:r>
        <w:rPr>
          <w:rStyle w:val="CharStyle3"/>
        </w:rPr>
        <w:t>I</w:t>
      </w:r>
      <w:r>
        <w:rPr>
          <w:rStyle w:val="CharStyle3"/>
          <w:sz w:val="16"/>
        </w:rPr>
        <w:t xml:space="preserve">SSUES </w:t>
      </w:r>
      <w:r>
        <w:rPr>
          <w:rStyle w:val="CharStyle3"/>
        </w:rPr>
        <w:t xml:space="preserve">(22 février 2022); Ariadna Capasso, et al., Socioeconomic predictors of COVID-19- related health disparities among United States workers: Une étude de modélisation d'équations structurelles, PLOS G</w:t>
      </w:r>
      <w:r>
        <w:rPr>
          <w:rStyle w:val="CharStyle3"/>
          <w:sz w:val="16"/>
        </w:rPr>
        <w:t>LOB</w:t>
      </w:r>
      <w:r>
        <w:rPr>
          <w:rStyle w:val="CharStyle3"/>
        </w:rPr>
        <w:t xml:space="preserve">. P</w:t>
      </w:r>
      <w:r>
        <w:rPr>
          <w:rStyle w:val="CharStyle3"/>
          <w:sz w:val="16"/>
        </w:rPr>
        <w:t xml:space="preserve">UBLIC </w:t>
      </w:r>
      <w:r>
        <w:rPr>
          <w:rStyle w:val="CharStyle3"/>
          <w:smallCaps/>
        </w:rPr>
        <w:t>H</w:t>
      </w:r>
      <w:r>
        <w:rPr>
          <w:rStyle w:val="CharStyle3"/>
          <w:smallCaps/>
          <w:sz w:val="15"/>
        </w:rPr>
        <w:t>ealth</w:t>
      </w:r>
      <w:r>
        <w:rPr>
          <w:rStyle w:val="CharStyle3"/>
        </w:rPr>
        <w:t xml:space="preserve"> (9 février 2022).</w:t>
      </w:r>
    </w:p>
  </w:footnote>
  <w:footnote w:id="60">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Jamie Smith Hopkins, et al., les prêts PPP étaient censés donner la priorité aux zones à faible revenu pendant la pandémie. Ils ne l’ont pas fait, T</w:t>
      </w:r>
      <w:r>
        <w:rPr>
          <w:rStyle w:val="CharStyle3"/>
          <w:sz w:val="16"/>
        </w:rPr>
        <w:t xml:space="preserve">HE </w:t>
      </w:r>
      <w:r>
        <w:rPr>
          <w:rStyle w:val="CharStyle3"/>
        </w:rPr>
        <w:t>C</w:t>
      </w:r>
      <w:r>
        <w:rPr>
          <w:rStyle w:val="CharStyle3"/>
          <w:sz w:val="16"/>
        </w:rPr>
        <w:t>TR</w:t>
      </w:r>
      <w:r>
        <w:rPr>
          <w:rStyle w:val="CharStyle3"/>
        </w:rPr>
        <w:t xml:space="preserve">. </w:t>
      </w:r>
      <w:r>
        <w:rPr>
          <w:rStyle w:val="CharStyle3"/>
          <w:sz w:val="16"/>
        </w:rPr>
        <w:t xml:space="preserve">POUR P </w:t>
      </w:r>
      <w:r>
        <w:rPr>
          <w:rStyle w:val="CharStyle3"/>
          <w:sz w:val="16"/>
        </w:rPr>
        <w:t xml:space="preserve">UBLIC </w:t>
      </w:r>
      <w:r>
        <w:rPr>
          <w:rStyle w:val="CharStyle3"/>
        </w:rPr>
        <w:t>I</w:t>
      </w:r>
      <w:r>
        <w:rPr>
          <w:rStyle w:val="CharStyle3"/>
          <w:sz w:val="16"/>
        </w:rPr>
        <w:t xml:space="preserve">NTEGRITY </w:t>
      </w:r>
      <w:r>
        <w:rPr>
          <w:rStyle w:val="CharStyle3"/>
        </w:rPr>
        <w:t xml:space="preserve">(11 décembre 2020).</w:t>
      </w:r>
    </w:p>
  </w:footnote>
  <w:footnote w:id="61">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Garrett Borawski &amp; Mark E. Schweitzer, How Well Did PPP Loans Reach Low- and Moderate-Income Communities?, F</w:t>
      </w:r>
      <w:r>
        <w:rPr>
          <w:rStyle w:val="CharStyle3"/>
          <w:sz w:val="16"/>
        </w:rPr>
        <w:t>ED</w:t>
      </w:r>
      <w:r>
        <w:rPr>
          <w:rStyle w:val="CharStyle3"/>
        </w:rPr>
        <w:t xml:space="preserve">. R</w:t>
      </w:r>
      <w:r>
        <w:rPr>
          <w:rStyle w:val="CharStyle3"/>
          <w:sz w:val="16"/>
        </w:rPr>
        <w:t xml:space="preserve">ESERVE </w:t>
      </w:r>
      <w:r>
        <w:rPr>
          <w:rStyle w:val="CharStyle3"/>
        </w:rPr>
        <w:t>B</w:t>
      </w:r>
      <w:r>
        <w:rPr>
          <w:rStyle w:val="CharStyle3"/>
          <w:sz w:val="16"/>
        </w:rPr>
        <w:t xml:space="preserve">ANK OF </w:t>
      </w:r>
      <w:r>
        <w:rPr>
          <w:rStyle w:val="CharStyle3"/>
        </w:rPr>
        <w:t>C</w:t>
      </w:r>
      <w:r>
        <w:rPr>
          <w:rStyle w:val="CharStyle3"/>
          <w:sz w:val="16"/>
        </w:rPr>
        <w:t xml:space="preserve">LEVELAND </w:t>
      </w:r>
      <w:r>
        <w:rPr>
          <w:rStyle w:val="CharStyle3"/>
        </w:rPr>
        <w:t xml:space="preserve">(27 mai 2021).</w:t>
      </w:r>
    </w:p>
  </w:footnote>
  <w:footnote w:id="62">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 L’emploi rural est revenu au niveau d’avant la pandémie de COVID-19, U.S. D</w:t>
      </w:r>
      <w:r>
        <w:rPr>
          <w:rStyle w:val="CharStyle3"/>
          <w:sz w:val="16"/>
        </w:rPr>
        <w:t>EP</w:t>
      </w:r>
      <w:r>
        <w:rPr>
          <w:rStyle w:val="CharStyle3"/>
        </w:rPr>
        <w:t>’</w:t>
      </w:r>
      <w:r>
        <w:rPr>
          <w:rStyle w:val="CharStyle3"/>
          <w:sz w:val="16"/>
        </w:rPr>
        <w:t xml:space="preserve">T OF </w:t>
      </w:r>
      <w:r>
        <w:rPr>
          <w:rStyle w:val="CharStyle3"/>
        </w:rPr>
        <w:t>A</w:t>
      </w:r>
      <w:r>
        <w:rPr>
          <w:rStyle w:val="CharStyle3"/>
          <w:sz w:val="16"/>
        </w:rPr>
        <w:t>GRICULTURE</w:t>
      </w:r>
      <w:r>
        <w:rPr>
          <w:rStyle w:val="CharStyle3"/>
        </w:rPr>
        <w:t xml:space="preserve">, disponible à </w:t>
      </w:r>
      <w:r>
        <w:fldChar w:fldCharType="begin"/>
      </w:r>
      <w:r>
        <w:rPr/>
        <w:instrText> HYPERLINK "https://www.ers.usda.gov/data-products/chart-gallery/gallery/chart-detail/?chartId=108586" </w:instrText>
      </w:r>
      <w:r>
        <w:fldChar w:fldCharType="separate"/>
      </w:r>
      <w:r>
        <w:rPr>
          <w:rStyle w:val="CharStyle3"/>
        </w:rPr>
        <w:t xml:space="preserve">l’adresse https://www.ers.usda.gov/data-products/chart-gallery/gallery/chart-detail/?chartId=108586</w:t>
      </w:r>
      <w:r>
        <w:fldChar w:fldCharType="end"/>
      </w:r>
      <w:r>
        <w:rPr>
          <w:rStyle w:val="CharStyle3"/>
        </w:rPr>
        <w:t xml:space="preserve"> (dernière mise à jour le 21 février 2024).</w:t>
      </w:r>
    </w:p>
  </w:footnote>
  <w:footnote w:id="63">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Stacy Mitchell, Fighting Monopoly Power, </w:t>
      </w:r>
      <w:r>
        <w:rPr>
          <w:rStyle w:val="CharStyle3"/>
          <w:smallCaps/>
        </w:rPr>
        <w:t xml:space="preserve">Institute for Local Self-Reliance</w:t>
      </w:r>
      <w:r>
        <w:rPr>
          <w:rStyle w:val="CharStyle3"/>
        </w:rPr>
        <w:t xml:space="preserve"> (juillet 2020).</w:t>
      </w:r>
    </w:p>
  </w:footnote>
  <w:footnote w:id="64">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Lettre de Michael Cloud, et al., membre de classement, Subcomm. sur la politique économique et des consommateurs, à Jessica Rosenworcel, présidente faisant fonction de la commission des communications de la Fed des États-Unis (21 octobre 2021); Emily A. Vogels, Certaines fractures numériques persistent entre les zones rurales, urbaines et suburbaines, Amérique, P</w:t>
      </w:r>
      <w:r>
        <w:rPr>
          <w:rStyle w:val="CharStyle3"/>
          <w:sz w:val="16"/>
        </w:rPr>
        <w:t xml:space="preserve">EW </w:t>
      </w:r>
      <w:r>
        <w:rPr>
          <w:rStyle w:val="CharStyle3"/>
        </w:rPr>
        <w:t>R</w:t>
      </w:r>
      <w:r>
        <w:rPr>
          <w:rStyle w:val="CharStyle3"/>
          <w:sz w:val="16"/>
        </w:rPr>
        <w:t xml:space="preserve">ESEARCH </w:t>
      </w:r>
      <w:r>
        <w:rPr>
          <w:rStyle w:val="CharStyle3"/>
        </w:rPr>
        <w:t>C</w:t>
      </w:r>
      <w:r>
        <w:rPr>
          <w:rStyle w:val="CharStyle3"/>
          <w:sz w:val="16"/>
        </w:rPr>
        <w:t xml:space="preserve">ENTER </w:t>
      </w:r>
      <w:r>
        <w:rPr>
          <w:rStyle w:val="CharStyle3"/>
        </w:rPr>
        <w:t xml:space="preserve">(19 août 2021).</w:t>
      </w:r>
    </w:p>
  </w:footnote>
  <w:footnote w:id="65">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 Unlocking the Digital Potential of Rural America, U.S. C</w:t>
      </w:r>
      <w:r>
        <w:rPr>
          <w:rStyle w:val="CharStyle3"/>
          <w:sz w:val="16"/>
        </w:rPr>
        <w:t xml:space="preserve">HAMBER </w:t>
      </w:r>
      <w:r>
        <w:rPr>
          <w:rStyle w:val="CharStyle3"/>
        </w:rPr>
        <w:t>T</w:t>
      </w:r>
      <w:r>
        <w:rPr>
          <w:rStyle w:val="CharStyle3"/>
          <w:sz w:val="16"/>
        </w:rPr>
        <w:t xml:space="preserve">ECHNOLOGY </w:t>
      </w:r>
      <w:r>
        <w:rPr>
          <w:rStyle w:val="CharStyle3"/>
        </w:rPr>
        <w:t>E</w:t>
      </w:r>
      <w:r>
        <w:rPr>
          <w:rStyle w:val="CharStyle3"/>
          <w:sz w:val="16"/>
        </w:rPr>
        <w:t xml:space="preserve">NGAGEMENT </w:t>
      </w:r>
      <w:r>
        <w:rPr>
          <w:rStyle w:val="CharStyle3"/>
        </w:rPr>
        <w:t>C</w:t>
      </w:r>
      <w:r>
        <w:rPr>
          <w:rStyle w:val="CharStyle3"/>
          <w:sz w:val="16"/>
        </w:rPr>
        <w:t>TR</w:t>
      </w:r>
      <w:r>
        <w:rPr>
          <w:rStyle w:val="CharStyle3"/>
        </w:rPr>
        <w:t xml:space="preserve">., disponible à </w:t>
      </w:r>
      <w:r>
        <w:fldChar w:fldCharType="begin"/>
      </w:r>
      <w:r>
        <w:rPr/>
        <w:instrText> HYPERLINK "https://americaninnovators.com/wp-content/uploads/2019/03/Unlocking-the-Digital-Potential-of-Rural-America.pdf" </w:instrText>
      </w:r>
      <w:r>
        <w:fldChar w:fldCharType="separate"/>
      </w:r>
      <w:r>
        <w:rPr>
          <w:rStyle w:val="CharStyle3"/>
        </w:rPr>
        <w:t xml:space="preserve">l’adresse https://americaninnovators.com/wp-content/uploads/2019/03/Unlocking-the-Digital-Potential-of-Rural- America.pdf</w:t>
      </w:r>
      <w:r>
        <w:fldChar w:fldCharType="end"/>
      </w:r>
      <w:r>
        <w:rPr>
          <w:rStyle w:val="CharStyle3"/>
        </w:rPr>
        <w:t xml:space="preserve"> (mars 2019) (environ un tiers des petites entreprises rurales vendent leurs produits et services sur leurs propres sites web et près de 13 % vendent leurs produits et services sur des sites web tiers).</w:t>
      </w:r>
    </w:p>
  </w:footnote>
  <w:footnote w:id="66">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Ira Regmi, How Topline Economic Indicators-like Low Unemployment-Miss Struggling Communities, </w:t>
      </w:r>
      <w:r>
        <w:rPr>
          <w:rStyle w:val="CharStyle3"/>
          <w:smallCaps/>
        </w:rPr>
        <w:t>R</w:t>
      </w:r>
      <w:r>
        <w:rPr>
          <w:rStyle w:val="CharStyle3"/>
          <w:smallCaps/>
          <w:sz w:val="15"/>
        </w:rPr>
        <w:t xml:space="preserve">oosevelt </w:t>
      </w:r>
      <w:r>
        <w:rPr>
          <w:rStyle w:val="CharStyle3"/>
          <w:smallCaps/>
        </w:rPr>
        <w:t>I</w:t>
      </w:r>
      <w:r>
        <w:rPr>
          <w:rStyle w:val="CharStyle3"/>
          <w:smallCaps/>
          <w:sz w:val="15"/>
        </w:rPr>
        <w:t>nstitute</w:t>
      </w:r>
      <w:r>
        <w:rPr>
          <w:rStyle w:val="CharStyle3"/>
        </w:rPr>
        <w:t xml:space="preserve"> (16 janvier 2024).</w:t>
      </w:r>
    </w:p>
  </w:footnote>
  <w:footnote w:id="67">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August Benzow, Renaissance économique ou reprise éphémère? Left-Behind Counties See Boom in Jobs and Businesses Amid Widening Divides, E</w:t>
      </w:r>
      <w:r>
        <w:rPr>
          <w:rStyle w:val="CharStyle3"/>
          <w:sz w:val="16"/>
        </w:rPr>
        <w:t xml:space="preserve">CONOMIC </w:t>
      </w:r>
      <w:r>
        <w:rPr>
          <w:rStyle w:val="CharStyle3"/>
        </w:rPr>
        <w:t>I</w:t>
      </w:r>
      <w:r>
        <w:rPr>
          <w:rStyle w:val="CharStyle3"/>
          <w:sz w:val="16"/>
        </w:rPr>
        <w:t xml:space="preserve">NNOVATION </w:t>
      </w:r>
      <w:r>
        <w:rPr>
          <w:rStyle w:val="CharStyle3"/>
        </w:rPr>
        <w:t>G</w:t>
      </w:r>
      <w:r>
        <w:rPr>
          <w:rStyle w:val="CharStyle3"/>
          <w:sz w:val="16"/>
        </w:rPr>
        <w:t xml:space="preserve">ROUP </w:t>
      </w:r>
      <w:r>
        <w:rPr>
          <w:rStyle w:val="CharStyle3"/>
        </w:rPr>
        <w:t xml:space="preserve">(8 juillet 2024).</w:t>
      </w:r>
    </w:p>
  </w:footnote>
  <w:footnote w:id="68">
    <w:p>
      <w:pPr>
        <w:pStyle w:val="Style2"/>
        <w:keepNext w:val="0"/>
        <w:keepLines w:val="0"/>
        <w:widowControl w:val="0"/>
        <w:shd w:val="clear" w:color="auto" w:fill="auto"/>
        <w:spacing w:before="0" w:after="0" w:line="240" w:lineRule="auto"/>
        <w:ind w:left="0" w:right="0" w:firstLine="140"/>
        <w:jc w:val="left"/>
      </w:pPr>
      <w:r>
        <w:rPr>
          <w:rStyle w:val="CharStyle3"/>
        </w:rPr>
        <w:footnoteRef/>
        <w:t xml:space="preserve">Alana Semuels, All the Way Retail’s Decline Could Hurt American Towns, </w:t>
      </w:r>
      <w:r>
        <w:rPr>
          <w:rStyle w:val="CharStyle3"/>
          <w:smallCaps/>
        </w:rPr>
        <w:t>T</w:t>
      </w:r>
      <w:r>
        <w:rPr>
          <w:rStyle w:val="CharStyle3"/>
          <w:smallCaps/>
          <w:sz w:val="15"/>
        </w:rPr>
        <w:t xml:space="preserve">he </w:t>
      </w:r>
      <w:r>
        <w:rPr>
          <w:rStyle w:val="CharStyle3"/>
          <w:smallCaps/>
        </w:rPr>
        <w:t>A</w:t>
      </w:r>
      <w:r>
        <w:rPr>
          <w:rStyle w:val="CharStyle3"/>
          <w:smallCaps/>
          <w:sz w:val="15"/>
        </w:rPr>
        <w:t>tlantic</w:t>
      </w:r>
      <w:r>
        <w:rPr>
          <w:rStyle w:val="CharStyle3"/>
        </w:rPr>
        <w:t xml:space="preserve"> (23 mai 2017).</w:t>
      </w:r>
    </w:p>
  </w:footnote>
  <w:footnote w:id="6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Suntae Kim &amp; Anna Kim, Recherche: How Entrepreneurship Can Revitalize Local Communities, </w:t>
      </w:r>
      <w:r>
        <w:rPr>
          <w:rStyle w:val="CharStyle3"/>
          <w:smallCaps/>
        </w:rPr>
        <w:t>H</w:t>
      </w:r>
      <w:r>
        <w:rPr>
          <w:rStyle w:val="CharStyle3"/>
          <w:smallCaps/>
          <w:sz w:val="15"/>
        </w:rPr>
        <w:t xml:space="preserve">arvard </w:t>
      </w:r>
      <w:r>
        <w:rPr>
          <w:rStyle w:val="CharStyle3"/>
          <w:smallCaps/>
        </w:rPr>
        <w:t>B</w:t>
      </w:r>
      <w:r>
        <w:rPr>
          <w:rStyle w:val="CharStyle3"/>
          <w:smallCaps/>
          <w:sz w:val="15"/>
        </w:rPr>
        <w:t xml:space="preserve">usines Review</w:t>
      </w:r>
      <w:r>
        <w:rPr>
          <w:rStyle w:val="CharStyle3"/>
        </w:rPr>
        <w:t xml:space="preserve"> (17 janvier 2022).</w:t>
      </w:r>
    </w:p>
  </w:footnote>
  <w:footnote w:id="7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Sauvegarder les chaînes d'approvisionnement pharmaceutiques dans une économie mondiale: Audition devant la sous-comm. sur la santé, H. Comm. sur l'énergie et le commerce, 116</w:t>
      </w:r>
      <w:r>
        <w:rPr>
          <w:rStyle w:val="CharStyle3"/>
          <w:vertAlign w:val="superscript"/>
        </w:rPr>
        <w:t>e</w:t>
      </w:r>
      <w:r>
        <w:rPr>
          <w:rStyle w:val="CharStyle3"/>
        </w:rPr>
        <w:t xml:space="preserve"> Cong. (30 octobre 2019) (Témoignage du Dr Janet Woodcock, Dir. du Center for Drug Evaluation and Research, Food and Drug Admin.).</w:t>
      </w:r>
    </w:p>
  </w:footnote>
  <w:footnote w:id="7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Chrisine Ngoc Ngo &amp; Huong Dang, COVID-19 en Amérique: Global supply chain reconsided, </w:t>
      </w:r>
      <w:r>
        <w:rPr>
          <w:rStyle w:val="CharStyle3"/>
          <w:smallCaps/>
        </w:rPr>
        <w:t>W</w:t>
      </w:r>
      <w:r>
        <w:rPr>
          <w:rStyle w:val="CharStyle3"/>
          <w:smallCaps/>
          <w:sz w:val="15"/>
        </w:rPr>
        <w:t xml:space="preserve">orld </w:t>
      </w:r>
      <w:r>
        <w:rPr>
          <w:rStyle w:val="CharStyle3"/>
          <w:smallCaps/>
        </w:rPr>
        <w:t>E</w:t>
      </w:r>
      <w:r>
        <w:rPr>
          <w:rStyle w:val="CharStyle3"/>
          <w:smallCaps/>
          <w:sz w:val="15"/>
        </w:rPr>
        <w:t xml:space="preserve">con </w:t>
      </w:r>
      <w:r>
        <w:rPr>
          <w:rStyle w:val="CharStyle3"/>
        </w:rPr>
        <w:t xml:space="preserve">(26 juillet 2022), voir, de manière générale, Chad P. Bown, COVID-19: Les exportations chinoises de fournitures médicales apportent une lueur d’espoir, PIIE (Marh. 26, 2020); Simon Evenett, et al., «Trade policy responses to the COVID-19 pandemic crisis: Preuves tirées d’un nouvel ensemble de données, W</w:t>
      </w:r>
      <w:r>
        <w:rPr>
          <w:rStyle w:val="CharStyle3"/>
          <w:sz w:val="16"/>
        </w:rPr>
        <w:t xml:space="preserve">ORLD </w:t>
      </w:r>
      <w:r>
        <w:rPr>
          <w:rStyle w:val="CharStyle3"/>
        </w:rPr>
        <w:t>E</w:t>
      </w:r>
      <w:r>
        <w:rPr>
          <w:rStyle w:val="CharStyle3"/>
          <w:sz w:val="16"/>
        </w:rPr>
        <w:t xml:space="preserve">CON </w:t>
      </w:r>
      <w:r>
        <w:rPr>
          <w:rStyle w:val="CharStyle3"/>
        </w:rPr>
        <w:t xml:space="preserve">(15 mars 2021).</w:t>
      </w:r>
    </w:p>
  </w:footnote>
  <w:footnote w:id="7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Darin Iraj, «The Ongoing Semiconductor Chip Shortage and the Sustainability of the Automotive Industry’s Profit Boom: Perspectives pour 2023 et au-delà, W</w:t>
      </w:r>
      <w:r>
        <w:rPr>
          <w:rStyle w:val="CharStyle3"/>
          <w:sz w:val="16"/>
        </w:rPr>
        <w:t xml:space="preserve">ESLEYAN </w:t>
      </w:r>
      <w:r>
        <w:rPr>
          <w:rStyle w:val="CharStyle3"/>
        </w:rPr>
        <w:t>B</w:t>
      </w:r>
      <w:r>
        <w:rPr>
          <w:rStyle w:val="CharStyle3"/>
          <w:sz w:val="16"/>
        </w:rPr>
        <w:t xml:space="preserve">USINESS </w:t>
      </w:r>
      <w:r>
        <w:rPr>
          <w:rStyle w:val="CharStyle3"/>
        </w:rPr>
        <w:t>R</w:t>
      </w:r>
      <w:r>
        <w:rPr>
          <w:rStyle w:val="CharStyle3"/>
          <w:sz w:val="16"/>
        </w:rPr>
        <w:t xml:space="preserve">EVIEW </w:t>
      </w:r>
      <w:r>
        <w:rPr>
          <w:rStyle w:val="CharStyle3"/>
        </w:rPr>
        <w:t xml:space="preserve">(3 décembre 2023).</w:t>
      </w:r>
    </w:p>
  </w:footnote>
  <w:footnote w:id="7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Jack Ewing &amp; Neal E. Boudette, A Tiny Part’s Big Ripple: Global Chip Shortage Hobbles the Auto Industry, T</w:t>
      </w:r>
      <w:r>
        <w:rPr>
          <w:rStyle w:val="CharStyle3"/>
          <w:sz w:val="16"/>
        </w:rPr>
        <w:t xml:space="preserve">HE </w:t>
      </w:r>
      <w:r>
        <w:rPr>
          <w:rStyle w:val="CharStyle3"/>
        </w:rPr>
        <w:t xml:space="preserve">N.Y. T</w:t>
      </w:r>
      <w:r>
        <w:rPr>
          <w:rStyle w:val="CharStyle3"/>
          <w:sz w:val="16"/>
        </w:rPr>
        <w:t xml:space="preserve">IMES </w:t>
      </w:r>
      <w:r>
        <w:rPr>
          <w:rStyle w:val="CharStyle3"/>
        </w:rPr>
        <w:t xml:space="preserve">(23 avril 2021, dernière mise à jour le 14 octobre 2021).</w:t>
      </w:r>
    </w:p>
  </w:footnote>
  <w:footnote w:id="7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La Chine est l’usine mondiale, plus que jamais, T</w:t>
      </w:r>
      <w:r>
        <w:rPr>
          <w:rStyle w:val="CharStyle3"/>
          <w:sz w:val="16"/>
        </w:rPr>
        <w:t xml:space="preserve">HE </w:t>
      </w:r>
      <w:r>
        <w:rPr>
          <w:rStyle w:val="CharStyle3"/>
        </w:rPr>
        <w:t>E</w:t>
      </w:r>
      <w:r>
        <w:rPr>
          <w:rStyle w:val="CharStyle3"/>
          <w:sz w:val="16"/>
        </w:rPr>
        <w:t xml:space="preserve">CONOMIST </w:t>
      </w:r>
      <w:r>
        <w:rPr>
          <w:rStyle w:val="CharStyle3"/>
        </w:rPr>
        <w:t xml:space="preserve">(8 septembre 2021).</w:t>
      </w:r>
    </w:p>
  </w:footnote>
  <w:footnote w:id="7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75% des entreprises voient des distributions de la chaîne d'approvisionnement en raison du coronavirus, I</w:t>
      </w:r>
      <w:r>
        <w:rPr>
          <w:rStyle w:val="CharStyle3"/>
          <w:sz w:val="16"/>
        </w:rPr>
        <w:t xml:space="preserve">NSTITUTE FOR </w:t>
      </w:r>
      <w:r>
        <w:rPr>
          <w:rStyle w:val="CharStyle3"/>
        </w:rPr>
        <w:t>S</w:t>
      </w:r>
      <w:r>
        <w:rPr>
          <w:rStyle w:val="CharStyle3"/>
          <w:sz w:val="16"/>
        </w:rPr>
        <w:t xml:space="preserve">UPPLY </w:t>
      </w:r>
      <w:r>
        <w:rPr>
          <w:rStyle w:val="CharStyle3"/>
        </w:rPr>
        <w:t>M</w:t>
      </w:r>
      <w:r>
        <w:rPr>
          <w:rStyle w:val="CharStyle3"/>
          <w:sz w:val="16"/>
        </w:rPr>
        <w:t xml:space="preserve">ANAGEMENT </w:t>
      </w:r>
      <w:r>
        <w:rPr>
          <w:rStyle w:val="CharStyle3"/>
        </w:rPr>
        <w:t xml:space="preserve">(14 avril 2020).</w:t>
      </w:r>
    </w:p>
  </w:footnote>
  <w:footnote w:id="7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Eric Kulisch, Est-ce que vous m'expédiez?!? Un conteneur de 32 000 $ quitte la Chine pour Los Angeles, </w:t>
      </w:r>
      <w:r>
        <w:rPr>
          <w:rStyle w:val="CharStyle3"/>
          <w:smallCaps/>
        </w:rPr>
        <w:t>F</w:t>
      </w:r>
      <w:r>
        <w:rPr>
          <w:rStyle w:val="CharStyle3"/>
          <w:smallCaps/>
          <w:sz w:val="15"/>
        </w:rPr>
        <w:t xml:space="preserve">reight </w:t>
      </w:r>
      <w:r>
        <w:rPr>
          <w:rStyle w:val="CharStyle3"/>
          <w:smallCaps/>
        </w:rPr>
        <w:t>W</w:t>
      </w:r>
      <w:r>
        <w:rPr>
          <w:rStyle w:val="CharStyle3"/>
          <w:smallCaps/>
          <w:sz w:val="15"/>
        </w:rPr>
        <w:t>aves</w:t>
      </w:r>
      <w:r>
        <w:rPr>
          <w:rStyle w:val="CharStyle3"/>
        </w:rPr>
        <w:t xml:space="preserve"> (30 juillet 2021).</w:t>
      </w:r>
    </w:p>
  </w:footnote>
  <w:footnote w:id="7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Xu Z, et al., Impacts of COVID-19 on Global Supply Chains: Faits et perspectives, IEEE </w:t>
      </w:r>
      <w:r>
        <w:rPr>
          <w:rStyle w:val="CharStyle3"/>
          <w:smallCaps/>
        </w:rPr>
        <w:t>E</w:t>
      </w:r>
      <w:r>
        <w:rPr>
          <w:rStyle w:val="CharStyle3"/>
          <w:smallCaps/>
          <w:sz w:val="15"/>
        </w:rPr>
        <w:t>ng</w:t>
      </w:r>
      <w:r>
        <w:rPr>
          <w:rStyle w:val="CharStyle3"/>
          <w:smallCaps/>
        </w:rPr>
        <w:t>’</w:t>
      </w:r>
      <w:r>
        <w:rPr>
          <w:rStyle w:val="CharStyle3"/>
          <w:smallCaps/>
          <w:sz w:val="15"/>
        </w:rPr>
        <w:t xml:space="preserve">g </w:t>
      </w:r>
      <w:r>
        <w:rPr>
          <w:rStyle w:val="CharStyle3"/>
          <w:smallCaps/>
        </w:rPr>
        <w:t>M</w:t>
      </w:r>
      <w:r>
        <w:rPr>
          <w:rStyle w:val="CharStyle3"/>
          <w:smallCaps/>
          <w:sz w:val="15"/>
        </w:rPr>
        <w:t>gmt</w:t>
      </w:r>
      <w:r>
        <w:rPr>
          <w:rStyle w:val="CharStyle3"/>
          <w:smallCaps/>
        </w:rPr>
        <w:t xml:space="preserve">. R</w:t>
      </w:r>
      <w:r>
        <w:rPr>
          <w:rStyle w:val="CharStyle3"/>
          <w:smallCaps/>
          <w:sz w:val="15"/>
        </w:rPr>
        <w:t>ev</w:t>
      </w:r>
      <w:r>
        <w:rPr>
          <w:rStyle w:val="CharStyle3"/>
          <w:smallCaps/>
        </w:rPr>
        <w:t xml:space="preserve">. </w:t>
      </w:r>
      <w:r>
        <w:rPr>
          <w:rStyle w:val="CharStyle3"/>
        </w:rPr>
        <w:t xml:space="preserve">(24 août 2020).</w:t>
      </w:r>
    </w:p>
  </w:footnote>
  <w:footnote w:id="78">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Nat’l Associate of Manufactures, Manufacturers’ Third Quarter Outlook Shows Continued Supply Chain Issues, Growing Workforce Needs and Rising Costs (19 septembre 2022).</w:t>
      </w:r>
    </w:p>
  </w:footnote>
  <w:footnote w:id="7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David Dam, et al., Many Small Businesses in the Services Sector Are Unlikely to Reopen, </w:t>
      </w:r>
      <w:r>
        <w:rPr>
          <w:rStyle w:val="CharStyle3"/>
          <w:smallCaps/>
        </w:rPr>
        <w:t>éd.</w:t>
      </w:r>
      <w:r>
        <w:rPr>
          <w:rStyle w:val="CharStyle3"/>
          <w:smallCaps/>
        </w:rPr>
        <w:t xml:space="preserve"> F. R</w:t>
      </w:r>
      <w:r>
        <w:rPr>
          <w:rStyle w:val="CharStyle3"/>
          <w:smallCaps/>
          <w:sz w:val="15"/>
        </w:rPr>
        <w:t xml:space="preserve">eserve </w:t>
      </w:r>
      <w:r>
        <w:rPr>
          <w:rStyle w:val="CharStyle3"/>
          <w:smallCaps/>
        </w:rPr>
        <w:t>B</w:t>
      </w:r>
      <w:r>
        <w:rPr>
          <w:rStyle w:val="CharStyle3"/>
          <w:smallCaps/>
          <w:sz w:val="15"/>
        </w:rPr>
        <w:t xml:space="preserve">ank </w:t>
      </w:r>
      <w:r>
        <w:rPr>
          <w:rStyle w:val="CharStyle3"/>
          <w:sz w:val="16"/>
        </w:rPr>
        <w:t xml:space="preserve">OF </w:t>
      </w:r>
      <w:r>
        <w:rPr>
          <w:rStyle w:val="CharStyle3"/>
        </w:rPr>
        <w:t xml:space="preserve">N.Y. (5 mai 2021).</w:t>
      </w:r>
    </w:p>
  </w:footnote>
  <w:footnote w:id="8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88% des propriétaires de petites entreprises disent que l'inflation a un impact sur leur entreprise, selon le rapport de la Bank of America Small Business Owners; Malgré les inquiétudes, 64% des entrepreneurs anticipent la croissance des revenus et l'expansion des entreprises, B</w:t>
      </w:r>
      <w:r>
        <w:rPr>
          <w:rStyle w:val="CharStyle3"/>
          <w:sz w:val="16"/>
        </w:rPr>
        <w:t xml:space="preserve">ANK OF </w:t>
      </w:r>
      <w:r>
        <w:rPr>
          <w:rStyle w:val="CharStyle3"/>
        </w:rPr>
        <w:t>A</w:t>
      </w:r>
      <w:r>
        <w:rPr>
          <w:rStyle w:val="CharStyle3"/>
          <w:sz w:val="16"/>
        </w:rPr>
        <w:t xml:space="preserve">MERICA </w:t>
      </w:r>
      <w:r>
        <w:rPr>
          <w:rStyle w:val="CharStyle3"/>
        </w:rPr>
        <w:t xml:space="preserve">(3 mai 2022).</w:t>
      </w:r>
    </w:p>
  </w:footnote>
  <w:footnote w:id="8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Melissa Minkow, Plus de 8 700 fermetures de magasins en 2021 – Ce que les détaillants devraient considérer comme restant pertinent, </w:t>
      </w:r>
      <w:r>
        <w:rPr>
          <w:rStyle w:val="CharStyle3"/>
          <w:smallCaps/>
        </w:rPr>
        <w:t>T</w:t>
      </w:r>
      <w:r>
        <w:rPr>
          <w:rStyle w:val="CharStyle3"/>
          <w:smallCaps/>
          <w:sz w:val="15"/>
        </w:rPr>
        <w:t xml:space="preserve">he </w:t>
      </w:r>
      <w:r>
        <w:rPr>
          <w:rStyle w:val="CharStyle3"/>
          <w:smallCaps/>
        </w:rPr>
        <w:t>S</w:t>
      </w:r>
      <w:r>
        <w:rPr>
          <w:rStyle w:val="CharStyle3"/>
          <w:smallCaps/>
          <w:sz w:val="15"/>
        </w:rPr>
        <w:t xml:space="preserve">upply </w:t>
      </w:r>
      <w:r>
        <w:rPr>
          <w:rStyle w:val="CharStyle3"/>
          <w:smallCaps/>
        </w:rPr>
        <w:t>C</w:t>
      </w:r>
      <w:r>
        <w:rPr>
          <w:rStyle w:val="CharStyle3"/>
          <w:smallCaps/>
          <w:sz w:val="15"/>
        </w:rPr>
        <w:t>hain</w:t>
      </w:r>
      <w:r>
        <w:rPr>
          <w:rStyle w:val="CharStyle3"/>
        </w:rPr>
        <w:t xml:space="preserve"> (6 septembre 2021).</w:t>
      </w:r>
    </w:p>
  </w:footnote>
  <w:footnote w:id="8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Jane Callen, Small Business Pulse Survey du Census Bureau, Reveals Delays From Domestic, Foreign Suppliers, U.S. </w:t>
      </w:r>
      <w:r>
        <w:rPr>
          <w:rStyle w:val="CharStyle3"/>
          <w:smallCaps/>
        </w:rPr>
        <w:t>C</w:t>
      </w:r>
      <w:r>
        <w:rPr>
          <w:rStyle w:val="CharStyle3"/>
          <w:smallCaps/>
          <w:sz w:val="15"/>
        </w:rPr>
        <w:t xml:space="preserve">ensus </w:t>
      </w:r>
      <w:r>
        <w:rPr>
          <w:rStyle w:val="CharStyle3"/>
          <w:smallCaps/>
        </w:rPr>
        <w:t>B</w:t>
      </w:r>
      <w:r>
        <w:rPr>
          <w:rStyle w:val="CharStyle3"/>
          <w:smallCaps/>
          <w:sz w:val="15"/>
        </w:rPr>
        <w:t>ureau</w:t>
      </w:r>
      <w:r>
        <w:rPr>
          <w:rStyle w:val="CharStyle3"/>
        </w:rPr>
        <w:t xml:space="preserve"> (9 août 2021).</w:t>
      </w:r>
    </w:p>
  </w:footnote>
  <w:footnote w:id="8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Ana Maria Santacreu &amp; Jesse LaBelle, Supply Chain Disruptions and Inflation During COVID-19, </w:t>
      </w:r>
      <w:r>
        <w:rPr>
          <w:rStyle w:val="CharStyle3"/>
          <w:smallCaps/>
        </w:rPr>
        <w:t>F</w:t>
      </w:r>
      <w:r>
        <w:rPr>
          <w:rStyle w:val="CharStyle3"/>
          <w:smallCaps/>
          <w:sz w:val="15"/>
        </w:rPr>
        <w:t xml:space="preserve">ederal </w:t>
      </w:r>
      <w:r>
        <w:rPr>
          <w:rStyle w:val="CharStyle3"/>
          <w:smallCaps/>
        </w:rPr>
        <w:t>R</w:t>
      </w:r>
      <w:r>
        <w:rPr>
          <w:rStyle w:val="CharStyle3"/>
          <w:smallCaps/>
          <w:sz w:val="15"/>
        </w:rPr>
        <w:t xml:space="preserve">eserve </w:t>
      </w:r>
      <w:r>
        <w:rPr>
          <w:rStyle w:val="CharStyle3"/>
          <w:smallCaps/>
        </w:rPr>
        <w:t>B</w:t>
      </w:r>
      <w:r>
        <w:rPr>
          <w:rStyle w:val="CharStyle3"/>
          <w:smallCaps/>
          <w:sz w:val="15"/>
        </w:rPr>
        <w:t xml:space="preserve">ank of </w:t>
      </w:r>
      <w:r>
        <w:rPr>
          <w:rStyle w:val="CharStyle3"/>
          <w:smallCaps/>
        </w:rPr>
        <w:t>S</w:t>
      </w:r>
      <w:r>
        <w:rPr>
          <w:rStyle w:val="CharStyle3"/>
          <w:smallCaps/>
          <w:sz w:val="15"/>
        </w:rPr>
        <w:t>t</w:t>
      </w:r>
      <w:r>
        <w:rPr>
          <w:rStyle w:val="CharStyle3"/>
          <w:smallCaps/>
        </w:rPr>
        <w:t xml:space="preserve">. L</w:t>
      </w:r>
      <w:r>
        <w:rPr>
          <w:rStyle w:val="CharStyle3"/>
          <w:smallCaps/>
          <w:sz w:val="15"/>
        </w:rPr>
        <w:t>ouis</w:t>
      </w:r>
      <w:r>
        <w:rPr>
          <w:rStyle w:val="CharStyle3"/>
        </w:rPr>
        <w:t xml:space="preserve"> (12 mai 2022).</w:t>
      </w:r>
    </w:p>
  </w:footnote>
  <w:footnote w:id="84">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U.S. Dep’t of Commerce, Analysis for CHIPS Act et BIA Briefing (6 avril 2022).</w:t>
      </w:r>
    </w:p>
  </w:footnote>
  <w:footnote w:id="8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Rakesh Kochhar, Le chômage a augmenté plus haut en trois mois de COVID-19 qu’il ne l’a fait en deux ans de Grande Récession, P</w:t>
      </w:r>
      <w:r>
        <w:rPr>
          <w:rStyle w:val="CharStyle3"/>
          <w:sz w:val="16"/>
        </w:rPr>
        <w:t xml:space="preserve">EW </w:t>
      </w:r>
      <w:r>
        <w:rPr>
          <w:rStyle w:val="CharStyle3"/>
        </w:rPr>
        <w:t>R</w:t>
      </w:r>
      <w:r>
        <w:rPr>
          <w:rStyle w:val="CharStyle3"/>
          <w:sz w:val="16"/>
        </w:rPr>
        <w:t xml:space="preserve">ESEARCH </w:t>
      </w:r>
      <w:r>
        <w:rPr>
          <w:rStyle w:val="CharStyle3"/>
        </w:rPr>
        <w:t>C</w:t>
      </w:r>
      <w:r>
        <w:rPr>
          <w:rStyle w:val="CharStyle3"/>
          <w:sz w:val="16"/>
        </w:rPr>
        <w:t>TR.</w:t>
      </w:r>
      <w:r>
        <w:rPr>
          <w:rStyle w:val="CharStyle3"/>
        </w:rPr>
        <w:t xml:space="preserve"> (juin. 11, 2020) (en notant que le taux de chômage maximal de 14,4 % pendant la pandémie a dépassé le taux de chômage maximal de 10,6 % pendant la Grande Récession).</w:t>
      </w:r>
    </w:p>
  </w:footnote>
  <w:footnote w:id="8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La COVID-19 met fin à la plus longue reprise et expansion de l’emploi de l’histoire de la SCÉ, entraînant des pertes d’emplois sans précédent en 2020, U.S. B</w:t>
      </w:r>
      <w:r>
        <w:rPr>
          <w:rStyle w:val="CharStyle3"/>
          <w:sz w:val="16"/>
        </w:rPr>
        <w:t xml:space="preserve">UREAU OF </w:t>
      </w:r>
      <w:r>
        <w:rPr>
          <w:rStyle w:val="CharStyle3"/>
        </w:rPr>
        <w:t>L</w:t>
      </w:r>
      <w:r>
        <w:rPr>
          <w:rStyle w:val="CharStyle3"/>
          <w:sz w:val="16"/>
        </w:rPr>
        <w:t>AB.</w:t>
      </w:r>
      <w:r>
        <w:rPr>
          <w:rStyle w:val="CharStyle3"/>
        </w:rPr>
        <w:t xml:space="preserve"> S</w:t>
      </w:r>
      <w:r>
        <w:rPr>
          <w:rStyle w:val="CharStyle3"/>
          <w:sz w:val="16"/>
        </w:rPr>
        <w:t>TAT</w:t>
      </w:r>
      <w:r>
        <w:rPr>
          <w:rStyle w:val="CharStyle3"/>
        </w:rPr>
        <w:t xml:space="preserve">. (juin 2021).</w:t>
      </w:r>
    </w:p>
  </w:footnote>
  <w:footnote w:id="8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Susan Helper &amp; Evan Soltas, Why the Pandemic Has Disrupted Supply Chains, The White House (17 juin 2021).</w:t>
      </w:r>
    </w:p>
  </w:footnote>
  <w:footnote w:id="8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116-136, 134 Stat. 281 (2020) tel que modifié par Pub. L. no 118-47 (2024).</w:t>
      </w:r>
    </w:p>
  </w:footnote>
  <w:footnote w:id="8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«Enhanced Unemployment» à ## pour un examen et une analyse plus complets de ces dispositions.</w:t>
      </w:r>
    </w:p>
  </w:footnote>
  <w:footnote w:id="9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116-136, 134 Stat. 281 § 2104 (2020).</w:t>
      </w:r>
    </w:p>
  </w:footnote>
  <w:footnote w:id="91">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92">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9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Tu vois, Id. Les personnes gagnant moins de 75 000 $ ont reçu un paiement de stimulation de 1 200 $; les couples mariés gagnant moins de 150 000 $ ont reçu un paiement de 2 400 $; et les ménages ont reçu 500 $ de plus pour chaque personne à charge qu'ils ont réclamée. Les paiements ont été réduits à des niveaux de revenu plus élevés et éliminés entièrement pour les ménages dont le revenu est supérieur à 99 000 $ (pour les déclarants célibataires sans enfants) ou à 198 000 $ (pour les couples mariés sans enfants).</w:t>
      </w:r>
    </w:p>
  </w:footnote>
  <w:footnote w:id="9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116-260, 134 Stat. 1182, et suiv. (2020). Les critères d'admissibilité ont largement suivi ceux de la première série de mesures de relance, les ménages célibataires étant admissibles au montant total de la mesure de relance jusqu'à concurrence de 75 000 $ de revenu (150 000 $ pour les ménages mariés). Le montant de la relance a diminué à des niveaux de revenu plus élevés, les ménages sans enfant ayant des revenus allant jusqu'à 87 000 $ (ou 174 000 $ si le mariage est déclaré conjointement) recevant un paiement.</w:t>
      </w:r>
    </w:p>
  </w:footnote>
  <w:footnote w:id="9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117-2, 135 Stat. 4, et suivants (2021). Ce plan a continué de verser la totalité du montant de stimulation de 1 400 $ aux ménages gagnant jusqu'à 150 000 $, mais a éliminé progressivement les paiements au-delà de ce seuil plus rapidement qu'initialement proposé, de sorte que les ménages dont le revenu est supérieur à 80 000 $ (pour les déclarants célibataires sans enfants) ou à 160 000 $ (pour les couples mariés sans enfants) n'ont reçu aucune stimulation.</w:t>
      </w:r>
    </w:p>
  </w:footnote>
  <w:footnote w:id="9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 Mise à jour: Trois séries de contrôles de stimulus. Voir combien sont sortis et pour combien, P</w:t>
      </w:r>
      <w:r>
        <w:rPr>
          <w:rStyle w:val="CharStyle3"/>
          <w:sz w:val="16"/>
        </w:rPr>
        <w:t xml:space="preserve">ANDEMIC </w:t>
      </w:r>
      <w:r>
        <w:rPr>
          <w:rStyle w:val="CharStyle3"/>
        </w:rPr>
        <w:t>O</w:t>
      </w:r>
      <w:r>
        <w:rPr>
          <w:rStyle w:val="CharStyle3"/>
          <w:sz w:val="16"/>
        </w:rPr>
        <w:t>VERSIGHT</w:t>
      </w:r>
      <w:r>
        <w:rPr>
          <w:rStyle w:val="CharStyle3"/>
        </w:rPr>
        <w:t xml:space="preserve">, disponible à </w:t>
      </w:r>
      <w:r>
        <w:fldChar w:fldCharType="begin"/>
      </w:r>
      <w:r>
        <w:rPr/>
        <w:instrText> HYPERLINK "https://www.pandemicoversight.gov/data-interactive-tools/data-stories/update-three-rounds-stimulus-checks-see-how-many-went-out-and" </w:instrText>
      </w:r>
      <w:r>
        <w:fldChar w:fldCharType="separate"/>
      </w:r>
      <w:r>
        <w:rPr>
          <w:rStyle w:val="CharStyle3"/>
        </w:rPr>
        <w:t xml:space="preserve">l’adresse https://www.pandemicoversight.gov/data-interactive-tools/data-stories/update-three-rounds-stimulus-checks-see-how-many-went-out-and</w:t>
      </w:r>
      <w:r>
        <w:fldChar w:fldCharType="end"/>
      </w:r>
      <w:r>
        <w:rPr>
          <w:rStyle w:val="CharStyle3"/>
        </w:rPr>
        <w:t xml:space="preserve"> (17 février 2022) (citant les données compilées par l’Internal Revenue Service au 31 décembre 2021).</w:t>
      </w:r>
    </w:p>
  </w:footnote>
  <w:footnote w:id="9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116-136, 134 Stat. 281 § 1102 (2020). Pour une analyse plus complète du PPP, voir la section ## ci-dessus.</w:t>
      </w:r>
    </w:p>
  </w:footnote>
  <w:footnote w:id="9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116-136, 134 Stat. 281 § 2301 (2020).</w:t>
      </w:r>
    </w:p>
  </w:footnote>
  <w:footnote w:id="9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116-136, 134 Stat. 281 § 11001 (2020).</w:t>
      </w:r>
    </w:p>
  </w:footnote>
  <w:footnote w:id="10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Un pub. L. n° 116-136, 134 Stat. 281 § 1101 (2020).</w:t>
      </w:r>
    </w:p>
  </w:footnote>
  <w:footnote w:id="10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Aristos Georgiou, Fauci Says He Told Trump to "Shut the Country Down", </w:t>
      </w:r>
      <w:r>
        <w:rPr>
          <w:rStyle w:val="CharStyle3"/>
          <w:smallCaps/>
        </w:rPr>
        <w:t>N</w:t>
      </w:r>
      <w:r>
        <w:rPr>
          <w:rStyle w:val="CharStyle3"/>
          <w:smallCaps/>
          <w:sz w:val="15"/>
        </w:rPr>
        <w:t xml:space="preserve">ewsweek </w:t>
      </w:r>
      <w:r>
        <w:rPr>
          <w:rStyle w:val="CharStyle3"/>
          <w:smallCaps/>
        </w:rPr>
        <w:t>(O</w:t>
      </w:r>
      <w:r>
        <w:rPr>
          <w:rStyle w:val="CharStyle3"/>
          <w:smallCaps/>
          <w:sz w:val="15"/>
        </w:rPr>
        <w:t>ct</w:t>
      </w:r>
      <w:r>
        <w:rPr>
          <w:rStyle w:val="CharStyle3"/>
          <w:smallCaps/>
        </w:rPr>
        <w:t>.</w:t>
      </w:r>
      <w:r>
        <w:rPr>
          <w:rStyle w:val="CharStyle3"/>
        </w:rPr>
        <w:t xml:space="preserve"> 7, 2020).</w:t>
      </w:r>
    </w:p>
  </w:footnote>
  <w:footnote w:id="10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Amanda Moreland, et al., Timing of State and Territorial COVID-19 Stay-at-Home Orders and Changes in Population Movement – United States, 1er mars au 31 mai 2020, MMWR (4 septembre 2020).</w:t>
      </w:r>
    </w:p>
  </w:footnote>
  <w:footnote w:id="103">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04">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0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Kevin B. O’Reilly, Dr Fauci décrit cinq moyens d’atténuer la résurgence de la pandémie de COVID-19, JAMA (4 août 2020).</w:t>
      </w:r>
    </w:p>
  </w:footnote>
  <w:footnote w:id="10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Fauci TI 2, supra note 81, p. 183-184.</w:t>
      </w:r>
    </w:p>
  </w:footnote>
  <w:footnote w:id="10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Collins TI, supra note 221, p. 224.</w:t>
      </w:r>
    </w:p>
  </w:footnote>
  <w:footnote w:id="108">
    <w:p>
      <w:pPr>
        <w:pStyle w:val="Style2"/>
        <w:keepNext w:val="0"/>
        <w:keepLines w:val="0"/>
        <w:widowControl w:val="0"/>
        <w:shd w:val="clear" w:color="auto" w:fill="auto"/>
        <w:spacing w:before="0" w:after="0" w:line="240" w:lineRule="auto"/>
        <w:ind w:left="0" w:right="0" w:firstLine="0"/>
        <w:jc w:val="left"/>
      </w:pPr>
      <w:r>
        <w:rPr>
          <w:rStyle w:val="CharStyle3"/>
          <w:smallCaps/>
          <w:sz w:val="15"/>
        </w:rPr>
        <w:t>U.S.</w:t>
        <w:footnoteRef/>
        <w:t xml:space="preserve"> </w:t>
      </w:r>
      <w:r>
        <w:rPr>
          <w:rStyle w:val="CharStyle3"/>
          <w:smallCaps/>
        </w:rPr>
        <w:t xml:space="preserve">B ureau de </w:t>
      </w:r>
      <w:r>
        <w:rPr>
          <w:rStyle w:val="CharStyle3"/>
          <w:smallCaps/>
          <w:sz w:val="15"/>
        </w:rPr>
        <w:t>L</w:t>
      </w:r>
      <w:r>
        <w:rPr>
          <w:rStyle w:val="CharStyle3"/>
          <w:smallCaps/>
          <w:sz w:val="15"/>
        </w:rPr>
        <w:t>ab</w:t>
      </w:r>
      <w:r>
        <w:rPr>
          <w:rStyle w:val="CharStyle3"/>
          <w:smallCaps/>
          <w:sz w:val="15"/>
        </w:rPr>
        <w:t xml:space="preserve">. S</w:t>
      </w:r>
      <w:r>
        <w:rPr>
          <w:rStyle w:val="CharStyle3"/>
          <w:smallCaps/>
          <w:sz w:val="15"/>
        </w:rPr>
        <w:t>tat</w:t>
      </w:r>
      <w:r>
        <w:rPr>
          <w:rStyle w:val="CharStyle3"/>
          <w:smallCaps/>
          <w:sz w:val="15"/>
        </w:rPr>
        <w:t xml:space="preserve">., R</w:t>
      </w:r>
      <w:r>
        <w:rPr>
          <w:rStyle w:val="CharStyle3"/>
          <w:smallCaps/>
          <w:sz w:val="15"/>
        </w:rPr>
        <w:t xml:space="preserve">esults of the</w:t>
      </w:r>
      <w:r>
        <w:rPr>
          <w:rStyle w:val="CharStyle3"/>
        </w:rPr>
        <w:t xml:space="preserve"> 2020 </w:t>
      </w:r>
      <w:r>
        <w:rPr>
          <w:rStyle w:val="CharStyle3"/>
          <w:smallCaps/>
        </w:rPr>
        <w:t>B</w:t>
      </w:r>
      <w:r>
        <w:rPr>
          <w:rStyle w:val="CharStyle3"/>
          <w:smallCaps/>
          <w:sz w:val="15"/>
        </w:rPr>
        <w:t xml:space="preserve">usines R </w:t>
      </w:r>
      <w:r>
        <w:rPr>
          <w:rStyle w:val="CharStyle3"/>
          <w:smallCaps/>
          <w:sz w:val="15"/>
        </w:rPr>
        <w:t xml:space="preserve">esponse </w:t>
      </w:r>
      <w:r>
        <w:rPr>
          <w:rStyle w:val="CharStyle3"/>
          <w:smallCaps/>
        </w:rPr>
        <w:t>S</w:t>
      </w:r>
      <w:r>
        <w:rPr>
          <w:rStyle w:val="CharStyle3"/>
          <w:smallCaps/>
          <w:sz w:val="15"/>
        </w:rPr>
        <w:t>urvey</w:t>
      </w:r>
      <w:r>
        <w:rPr>
          <w:rStyle w:val="CharStyle3"/>
        </w:rPr>
        <w:t xml:space="preserve"> (2020).</w:t>
      </w:r>
    </w:p>
  </w:footnote>
  <w:footnote w:id="10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Jane Callen, Weekly Census Bureau Survey Fournit des informations en temps quasi réel sur les entreprises, U.S. </w:t>
      </w:r>
      <w:r>
        <w:rPr>
          <w:rStyle w:val="CharStyle3"/>
          <w:smallCaps/>
        </w:rPr>
        <w:t>C</w:t>
      </w:r>
      <w:r>
        <w:rPr>
          <w:rStyle w:val="CharStyle3"/>
          <w:smallCaps/>
          <w:sz w:val="15"/>
        </w:rPr>
        <w:t xml:space="preserve">ensus </w:t>
      </w:r>
      <w:r>
        <w:rPr>
          <w:rStyle w:val="CharStyle3"/>
          <w:smallCaps/>
        </w:rPr>
        <w:t>B</w:t>
      </w:r>
      <w:r>
        <w:rPr>
          <w:rStyle w:val="CharStyle3"/>
          <w:smallCaps/>
          <w:sz w:val="15"/>
        </w:rPr>
        <w:t xml:space="preserve">ureau </w:t>
      </w:r>
      <w:r>
        <w:rPr>
          <w:rStyle w:val="CharStyle3"/>
        </w:rPr>
        <w:t xml:space="preserve">(14 mai 2020).</w:t>
      </w:r>
    </w:p>
  </w:footnote>
  <w:footnote w:id="11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Emily Wavering Corcoran &amp; Sonya Ravindranath Waddell, Income, Consumption, and the COVID-19 Pandemic, F</w:t>
      </w:r>
      <w:r>
        <w:rPr>
          <w:rStyle w:val="CharStyle3"/>
          <w:sz w:val="16"/>
        </w:rPr>
        <w:t>ED</w:t>
      </w:r>
      <w:r>
        <w:rPr>
          <w:rStyle w:val="CharStyle3"/>
        </w:rPr>
        <w:t xml:space="preserve">. R</w:t>
      </w:r>
      <w:r>
        <w:rPr>
          <w:rStyle w:val="CharStyle3"/>
          <w:sz w:val="16"/>
        </w:rPr>
        <w:t xml:space="preserve">ESERVE OF </w:t>
      </w:r>
      <w:r>
        <w:rPr>
          <w:rStyle w:val="CharStyle3"/>
        </w:rPr>
        <w:t>R</w:t>
      </w:r>
      <w:r>
        <w:rPr>
          <w:rStyle w:val="CharStyle3"/>
          <w:sz w:val="16"/>
        </w:rPr>
        <w:t xml:space="preserve">ICHMOND </w:t>
      </w:r>
      <w:r>
        <w:rPr>
          <w:rStyle w:val="CharStyle3"/>
        </w:rPr>
        <w:t xml:space="preserve">(18 juin 2020).</w:t>
      </w:r>
    </w:p>
  </w:footnote>
  <w:footnote w:id="11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1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Dr. Martin Kulldorff, et al., </w:t>
      </w:r>
      <w:r>
        <w:rPr>
          <w:rStyle w:val="CharStyle3"/>
          <w:smallCaps/>
        </w:rPr>
        <w:t>T</w:t>
      </w:r>
      <w:r>
        <w:rPr>
          <w:rStyle w:val="CharStyle3"/>
          <w:smallCaps/>
          <w:sz w:val="15"/>
        </w:rPr>
        <w:t xml:space="preserve">he </w:t>
      </w:r>
      <w:r>
        <w:rPr>
          <w:rStyle w:val="CharStyle3"/>
          <w:smallCaps/>
        </w:rPr>
        <w:t>G</w:t>
      </w:r>
      <w:r>
        <w:rPr>
          <w:rStyle w:val="CharStyle3"/>
          <w:smallCaps/>
          <w:sz w:val="15"/>
        </w:rPr>
        <w:t xml:space="preserve">reat </w:t>
      </w:r>
      <w:r>
        <w:rPr>
          <w:rStyle w:val="CharStyle3"/>
          <w:smallCaps/>
        </w:rPr>
        <w:t>B</w:t>
      </w:r>
      <w:r>
        <w:rPr>
          <w:rStyle w:val="CharStyle3"/>
          <w:smallCaps/>
          <w:sz w:val="15"/>
        </w:rPr>
        <w:t xml:space="preserve">arrington </w:t>
      </w:r>
      <w:r>
        <w:rPr>
          <w:rStyle w:val="CharStyle3"/>
          <w:smallCaps/>
        </w:rPr>
        <w:t>D</w:t>
      </w:r>
      <w:r>
        <w:rPr>
          <w:rStyle w:val="CharStyle3"/>
          <w:smallCaps/>
          <w:sz w:val="15"/>
        </w:rPr>
        <w:t>eclaration</w:t>
      </w:r>
      <w:r>
        <w:rPr>
          <w:rStyle w:val="CharStyle3"/>
        </w:rPr>
        <w:t xml:space="preserve"> (4 octobre 2020).</w:t>
      </w:r>
    </w:p>
  </w:footnote>
  <w:footnote w:id="11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Francis Collins, M.D., Ph.D., Dir. Nat’l Insts. of Health, à Anthony Fauci, M.D., Dir., Nat’l Inst. of Allergy &amp; Infectious Diseases, Nat’l Insts. of Health, et al. (8 octobre 2020, 14h31)</w:t>
      </w:r>
    </w:p>
  </w:footnote>
  <w:footnote w:id="11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Collins TI, supra note 221, p. 242.</w:t>
      </w:r>
    </w:p>
  </w:footnote>
  <w:footnote w:id="11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Wesley J. Smith, Francis Collins Disappointed as Public-Health Leader, </w:t>
      </w:r>
      <w:r>
        <w:rPr>
          <w:rStyle w:val="CharStyle3"/>
          <w:smallCaps/>
        </w:rPr>
        <w:t xml:space="preserve">National Review</w:t>
      </w:r>
      <w:r>
        <w:rPr>
          <w:rStyle w:val="CharStyle3"/>
        </w:rPr>
        <w:t xml:space="preserve"> (30 décembre 2023) (soulignement ajouté).</w:t>
      </w:r>
    </w:p>
  </w:footnote>
  <w:footnote w:id="116">
    <w:p>
      <w:pPr>
        <w:pStyle w:val="Style2"/>
        <w:keepNext w:val="0"/>
        <w:keepLines w:val="0"/>
        <w:widowControl w:val="0"/>
        <w:shd w:val="clear" w:color="auto" w:fill="auto"/>
        <w:spacing w:before="0" w:after="0" w:line="240" w:lineRule="auto"/>
        <w:ind w:left="0" w:right="0" w:firstLine="140"/>
        <w:jc w:val="left"/>
      </w:pPr>
      <w:r>
        <w:rPr>
          <w:rStyle w:val="CharStyle3"/>
          <w:smallCaps/>
          <w:sz w:val="15"/>
        </w:rPr>
        <w:t>U.S.</w:t>
        <w:footnoteRef/>
        <w:t xml:space="preserve"> </w:t>
      </w:r>
      <w:r>
        <w:rPr>
          <w:rStyle w:val="CharStyle3"/>
          <w:smallCaps/>
        </w:rPr>
        <w:t xml:space="preserve">B ureau de </w:t>
      </w:r>
      <w:r>
        <w:rPr>
          <w:rStyle w:val="CharStyle3"/>
          <w:smallCaps/>
          <w:sz w:val="15"/>
        </w:rPr>
        <w:t>L</w:t>
      </w:r>
      <w:r>
        <w:rPr>
          <w:rStyle w:val="CharStyle3"/>
          <w:smallCaps/>
          <w:sz w:val="15"/>
        </w:rPr>
        <w:t>ab</w:t>
      </w:r>
      <w:r>
        <w:rPr>
          <w:rStyle w:val="CharStyle3"/>
          <w:smallCaps/>
          <w:sz w:val="15"/>
        </w:rPr>
        <w:t xml:space="preserve">. S</w:t>
      </w:r>
      <w:r>
        <w:rPr>
          <w:rStyle w:val="CharStyle3"/>
          <w:smallCaps/>
          <w:sz w:val="15"/>
        </w:rPr>
        <w:t>tat</w:t>
      </w:r>
      <w:r>
        <w:rPr>
          <w:rStyle w:val="CharStyle3"/>
          <w:smallCaps/>
          <w:sz w:val="15"/>
        </w:rPr>
        <w:t xml:space="preserve">., R</w:t>
      </w:r>
      <w:r>
        <w:rPr>
          <w:rStyle w:val="CharStyle3"/>
          <w:smallCaps/>
          <w:sz w:val="15"/>
        </w:rPr>
        <w:t xml:space="preserve">esults of the</w:t>
      </w:r>
      <w:r>
        <w:rPr>
          <w:rStyle w:val="CharStyle3"/>
        </w:rPr>
        <w:t xml:space="preserve"> 2020 </w:t>
      </w:r>
      <w:r>
        <w:rPr>
          <w:rStyle w:val="CharStyle3"/>
          <w:smallCaps/>
        </w:rPr>
        <w:t>B</w:t>
      </w:r>
      <w:r>
        <w:rPr>
          <w:rStyle w:val="CharStyle3"/>
          <w:smallCaps/>
          <w:sz w:val="15"/>
        </w:rPr>
        <w:t xml:space="preserve">usines R </w:t>
      </w:r>
      <w:r>
        <w:rPr>
          <w:rStyle w:val="CharStyle3"/>
          <w:smallCaps/>
          <w:sz w:val="15"/>
        </w:rPr>
        <w:t xml:space="preserve">esponse </w:t>
      </w:r>
      <w:r>
        <w:rPr>
          <w:rStyle w:val="CharStyle3"/>
          <w:smallCaps/>
        </w:rPr>
        <w:t>S</w:t>
      </w:r>
      <w:r>
        <w:rPr>
          <w:rStyle w:val="CharStyle3"/>
          <w:smallCaps/>
          <w:sz w:val="15"/>
        </w:rPr>
        <w:t>urvey</w:t>
      </w:r>
      <w:r>
        <w:rPr>
          <w:rStyle w:val="CharStyle3"/>
        </w:rPr>
        <w:t xml:space="preserve"> (2020).</w:t>
      </w:r>
    </w:p>
  </w:footnote>
  <w:footnote w:id="117">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Id. (Les secteurs présentant les pourcentages les plus élevés d’options de télétravail en 2020 comprenaient les services éducatifs (60 %), les finances et les assurances (58 %) et la gestion d’entreprise (54 %).</w:t>
      </w:r>
    </w:p>
  </w:footnote>
  <w:footnote w:id="118">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Id. (Les secteurs dans lesquels le pourcentage de personnes n’offrant pas de télétravail était le plus élevé en 2020 comprenaient les services d’hébergement et de restauration (91 %), l’agriculture, la sylviculture, la pêche et la chasse (86 %) et le commerce de détail (75 %).</w:t>
      </w:r>
    </w:p>
  </w:footnote>
  <w:footnote w:id="11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Susan Lund, et al., The future of work after COVID-19, at 5, </w:t>
      </w:r>
      <w:r>
        <w:rPr>
          <w:rStyle w:val="CharStyle3"/>
          <w:smallCaps/>
        </w:rPr>
        <w:t>M</w:t>
      </w:r>
      <w:r>
        <w:rPr>
          <w:rStyle w:val="CharStyle3"/>
          <w:smallCaps/>
          <w:sz w:val="15"/>
        </w:rPr>
        <w:t>c</w:t>
      </w:r>
      <w:r>
        <w:rPr>
          <w:rStyle w:val="CharStyle3"/>
          <w:smallCaps/>
        </w:rPr>
        <w:t>K</w:t>
      </w:r>
      <w:r>
        <w:rPr>
          <w:rStyle w:val="CharStyle3"/>
          <w:smallCaps/>
          <w:sz w:val="15"/>
        </w:rPr>
        <w:t xml:space="preserve">insey </w:t>
      </w:r>
      <w:r>
        <w:rPr>
          <w:rStyle w:val="CharStyle3"/>
          <w:smallCaps/>
        </w:rPr>
        <w:t>G</w:t>
      </w:r>
      <w:r>
        <w:rPr>
          <w:rStyle w:val="CharStyle3"/>
          <w:smallCaps/>
          <w:sz w:val="15"/>
        </w:rPr>
        <w:t xml:space="preserve">lobal </w:t>
      </w:r>
      <w:r>
        <w:rPr>
          <w:rStyle w:val="CharStyle3"/>
          <w:smallCaps/>
        </w:rPr>
        <w:t>I</w:t>
      </w:r>
      <w:r>
        <w:rPr>
          <w:rStyle w:val="CharStyle3"/>
          <w:smallCaps/>
          <w:sz w:val="15"/>
        </w:rPr>
        <w:t>nst</w:t>
      </w:r>
      <w:r>
        <w:rPr>
          <w:rStyle w:val="CharStyle3"/>
          <w:smallCaps/>
        </w:rPr>
        <w:t>.</w:t>
      </w:r>
      <w:r>
        <w:rPr>
          <w:rStyle w:val="CharStyle3"/>
        </w:rPr>
        <w:t xml:space="preserve"> (18 février 2021).</w:t>
      </w:r>
    </w:p>
  </w:footnote>
  <w:footnote w:id="12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2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Environ 1 travailleur sur 3 dans la gestion, les professionnels et les professions connexes a télétravaillé, novembre 2023, </w:t>
      </w:r>
      <w:r>
        <w:rPr>
          <w:rStyle w:val="CharStyle3"/>
          <w:smallCaps/>
          <w:sz w:val="15"/>
        </w:rPr>
        <w:t xml:space="preserve">U.S. B ureau of </w:t>
      </w:r>
      <w:r>
        <w:rPr>
          <w:rStyle w:val="CharStyle3"/>
          <w:smallCaps/>
        </w:rPr>
        <w:t>L</w:t>
      </w:r>
      <w:r>
        <w:rPr>
          <w:rStyle w:val="CharStyle3"/>
          <w:smallCaps/>
          <w:sz w:val="15"/>
        </w:rPr>
        <w:t xml:space="preserve">abor </w:t>
      </w:r>
      <w:r>
        <w:rPr>
          <w:rStyle w:val="CharStyle3"/>
          <w:smallCaps/>
        </w:rPr>
        <w:t>S</w:t>
      </w:r>
      <w:r>
        <w:rPr>
          <w:rStyle w:val="CharStyle3"/>
          <w:smallCaps/>
          <w:sz w:val="15"/>
        </w:rPr>
        <w:t>tatistics</w:t>
      </w:r>
      <w:r>
        <w:rPr>
          <w:rStyle w:val="CharStyle3"/>
        </w:rPr>
        <w:t xml:space="preserve"> (19 décembre 2023).</w:t>
      </w:r>
    </w:p>
  </w:footnote>
  <w:footnote w:id="122">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2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Susan Lund, et al., The future of work after COVID-19, at 10, </w:t>
      </w:r>
      <w:r>
        <w:rPr>
          <w:rStyle w:val="CharStyle3"/>
          <w:smallCaps/>
        </w:rPr>
        <w:t>M</w:t>
      </w:r>
      <w:r>
        <w:rPr>
          <w:rStyle w:val="CharStyle3"/>
          <w:smallCaps/>
          <w:sz w:val="15"/>
        </w:rPr>
        <w:t>c</w:t>
      </w:r>
      <w:r>
        <w:rPr>
          <w:rStyle w:val="CharStyle3"/>
          <w:smallCaps/>
        </w:rPr>
        <w:t>K</w:t>
      </w:r>
      <w:r>
        <w:rPr>
          <w:rStyle w:val="CharStyle3"/>
          <w:smallCaps/>
          <w:sz w:val="15"/>
        </w:rPr>
        <w:t xml:space="preserve">insey </w:t>
      </w:r>
      <w:r>
        <w:rPr>
          <w:rStyle w:val="CharStyle3"/>
          <w:smallCaps/>
        </w:rPr>
        <w:t>G</w:t>
      </w:r>
      <w:r>
        <w:rPr>
          <w:rStyle w:val="CharStyle3"/>
          <w:smallCaps/>
          <w:sz w:val="15"/>
        </w:rPr>
        <w:t xml:space="preserve">lobal </w:t>
      </w:r>
      <w:r>
        <w:rPr>
          <w:rStyle w:val="CharStyle3"/>
          <w:smallCaps/>
        </w:rPr>
        <w:t>I</w:t>
      </w:r>
      <w:r>
        <w:rPr>
          <w:rStyle w:val="CharStyle3"/>
          <w:smallCaps/>
          <w:sz w:val="15"/>
        </w:rPr>
        <w:t>nst</w:t>
      </w:r>
      <w:r>
        <w:rPr>
          <w:rStyle w:val="CharStyle3"/>
          <w:smallCaps/>
        </w:rPr>
        <w:t>.</w:t>
      </w:r>
      <w:r>
        <w:rPr>
          <w:rStyle w:val="CharStyle3"/>
        </w:rPr>
        <w:t xml:space="preserve"> (18 février 2021).</w:t>
      </w:r>
    </w:p>
  </w:footnote>
  <w:footnote w:id="124">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125">
    <w:p>
      <w:pPr>
        <w:pStyle w:val="Style2"/>
        <w:keepNext w:val="0"/>
        <w:keepLines w:val="0"/>
        <w:widowControl w:val="0"/>
        <w:shd w:val="clear" w:color="auto" w:fill="auto"/>
        <w:spacing w:before="0" w:after="0" w:line="180" w:lineRule="auto"/>
        <w:ind w:left="0" w:right="0" w:firstLine="0"/>
        <w:jc w:val="left"/>
      </w:pPr>
      <w:r>
        <w:rPr>
          <w:rStyle w:val="CharStyle3"/>
          <w:sz w:val="13"/>
        </w:rPr>
        <w:footnoteRef/>
      </w:r>
      <w:r>
        <w:rPr>
          <w:rStyle w:val="CharStyle3"/>
          <w:vertAlign w:val="subscript"/>
        </w:rPr>
        <w:t>Id.</w:t>
      </w:r>
    </w:p>
  </w:footnote>
  <w:footnote w:id="12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à 11 heures.</w:t>
      </w:r>
    </w:p>
  </w:footnote>
  <w:footnote w:id="12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à 16.</w:t>
      </w:r>
    </w:p>
  </w:footnote>
  <w:footnote w:id="128">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12 U.S.C. § 221 et suivants.</w:t>
      </w:r>
    </w:p>
  </w:footnote>
  <w:footnote w:id="12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U.S. </w:t>
      </w:r>
      <w:r>
        <w:rPr>
          <w:rStyle w:val="CharStyle3"/>
          <w:smallCaps/>
        </w:rPr>
        <w:t>F</w:t>
      </w:r>
      <w:r>
        <w:rPr>
          <w:rStyle w:val="CharStyle3"/>
          <w:smallCaps/>
          <w:sz w:val="15"/>
        </w:rPr>
        <w:t>ed</w:t>
      </w:r>
      <w:r>
        <w:rPr>
          <w:rStyle w:val="CharStyle3"/>
          <w:smallCaps/>
        </w:rPr>
        <w:t xml:space="preserve">. R</w:t>
      </w:r>
      <w:r>
        <w:rPr>
          <w:rStyle w:val="CharStyle3"/>
          <w:smallCaps/>
          <w:sz w:val="15"/>
        </w:rPr>
        <w:t>srv</w:t>
      </w:r>
      <w:r>
        <w:rPr>
          <w:rStyle w:val="CharStyle3"/>
          <w:smallCaps/>
        </w:rPr>
        <w:t xml:space="preserve">. S</w:t>
      </w:r>
      <w:r>
        <w:rPr>
          <w:rStyle w:val="CharStyle3"/>
          <w:smallCaps/>
          <w:sz w:val="15"/>
        </w:rPr>
        <w:t>ys</w:t>
      </w:r>
      <w:r>
        <w:rPr>
          <w:rStyle w:val="CharStyle3"/>
          <w:smallCaps/>
        </w:rPr>
        <w:t xml:space="preserve">., P</w:t>
      </w:r>
      <w:r>
        <w:rPr>
          <w:rStyle w:val="CharStyle3"/>
          <w:smallCaps/>
          <w:sz w:val="15"/>
        </w:rPr>
        <w:t>ub</w:t>
      </w:r>
      <w:r>
        <w:rPr>
          <w:rStyle w:val="CharStyle3"/>
          <w:smallCaps/>
        </w:rPr>
        <w:t xml:space="preserve">. E</w:t>
      </w:r>
      <w:r>
        <w:rPr>
          <w:rStyle w:val="CharStyle3"/>
          <w:smallCaps/>
          <w:sz w:val="15"/>
        </w:rPr>
        <w:t>duc</w:t>
      </w:r>
      <w:r>
        <w:rPr>
          <w:rStyle w:val="CharStyle3"/>
          <w:smallCaps/>
        </w:rPr>
        <w:t>.</w:t>
      </w:r>
      <w:r>
        <w:rPr>
          <w:rStyle w:val="CharStyle3"/>
        </w:rPr>
        <w:t xml:space="preserve"> &amp; </w:t>
      </w:r>
      <w:r>
        <w:rPr>
          <w:rStyle w:val="CharStyle3"/>
          <w:smallCaps/>
        </w:rPr>
        <w:t>O</w:t>
      </w:r>
      <w:r>
        <w:rPr>
          <w:rStyle w:val="CharStyle3"/>
          <w:smallCaps/>
          <w:sz w:val="15"/>
        </w:rPr>
        <w:t>utreach</w:t>
      </w:r>
      <w:r>
        <w:rPr>
          <w:rStyle w:val="CharStyle3"/>
          <w:smallCaps/>
        </w:rPr>
        <w:t xml:space="preserve">, T</w:t>
      </w:r>
      <w:r>
        <w:rPr>
          <w:rStyle w:val="CharStyle3"/>
          <w:smallCaps/>
          <w:sz w:val="15"/>
        </w:rPr>
        <w:t xml:space="preserve">he </w:t>
      </w:r>
      <w:r>
        <w:rPr>
          <w:rStyle w:val="CharStyle3"/>
          <w:smallCaps/>
        </w:rPr>
        <w:t>F</w:t>
      </w:r>
      <w:r>
        <w:rPr>
          <w:rStyle w:val="CharStyle3"/>
          <w:smallCaps/>
          <w:sz w:val="15"/>
        </w:rPr>
        <w:t xml:space="preserve">ed </w:t>
      </w:r>
      <w:r>
        <w:rPr>
          <w:rStyle w:val="CharStyle3"/>
          <w:smallCaps/>
        </w:rPr>
        <w:t>E</w:t>
      </w:r>
      <w:r>
        <w:rPr>
          <w:rStyle w:val="CharStyle3"/>
          <w:smallCaps/>
          <w:sz w:val="15"/>
        </w:rPr>
        <w:t>xplained</w:t>
      </w:r>
      <w:r>
        <w:rPr>
          <w:rStyle w:val="CharStyle3"/>
          <w:smallCaps/>
        </w:rPr>
        <w:t xml:space="preserve">: W</w:t>
      </w:r>
      <w:r>
        <w:rPr>
          <w:rStyle w:val="CharStyle3"/>
          <w:smallCaps/>
          <w:sz w:val="15"/>
        </w:rPr>
        <w:t xml:space="preserve">hat the </w:t>
      </w:r>
      <w:r>
        <w:rPr>
          <w:rStyle w:val="CharStyle3"/>
          <w:smallCaps/>
        </w:rPr>
        <w:t>C</w:t>
      </w:r>
      <w:r>
        <w:rPr>
          <w:rStyle w:val="CharStyle3"/>
          <w:smallCaps/>
          <w:sz w:val="15"/>
        </w:rPr>
        <w:t xml:space="preserve">entral </w:t>
      </w:r>
      <w:r>
        <w:rPr>
          <w:rStyle w:val="CharStyle3"/>
          <w:smallCaps/>
        </w:rPr>
        <w:t>B</w:t>
      </w:r>
      <w:r>
        <w:rPr>
          <w:rStyle w:val="CharStyle3"/>
          <w:smallCaps/>
          <w:sz w:val="15"/>
        </w:rPr>
        <w:t xml:space="preserve">ank </w:t>
      </w:r>
      <w:r>
        <w:rPr>
          <w:rStyle w:val="CharStyle3"/>
          <w:smallCaps/>
        </w:rPr>
        <w:t>D</w:t>
      </w:r>
      <w:r>
        <w:rPr>
          <w:rStyle w:val="CharStyle3"/>
          <w:smallCaps/>
          <w:sz w:val="15"/>
        </w:rPr>
        <w:t>oes</w:t>
      </w:r>
      <w:r>
        <w:rPr>
          <w:rStyle w:val="CharStyle3"/>
          <w:smallCaps/>
        </w:rPr>
        <w:t>,</w:t>
      </w:r>
      <w:r>
        <w:rPr>
          <w:rStyle w:val="CharStyle3"/>
        </w:rPr>
        <w:t xml:space="preserve"> à 21 (2021).</w:t>
      </w:r>
    </w:p>
  </w:footnote>
  <w:footnote w:id="13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au point 2.</w:t>
      </w:r>
    </w:p>
  </w:footnote>
  <w:footnote w:id="13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3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225b.</w:t>
      </w:r>
    </w:p>
  </w:footnote>
  <w:footnote w:id="13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241.</w:t>
      </w:r>
    </w:p>
  </w:footnote>
  <w:footnote w:id="13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M</w:t>
      </w:r>
      <w:r>
        <w:rPr>
          <w:rStyle w:val="CharStyle3"/>
          <w:sz w:val="16"/>
        </w:rPr>
        <w:t xml:space="preserve">ARC </w:t>
      </w:r>
      <w:r>
        <w:rPr>
          <w:rStyle w:val="CharStyle3"/>
        </w:rPr>
        <w:t>L</w:t>
      </w:r>
      <w:r>
        <w:rPr>
          <w:rStyle w:val="CharStyle3"/>
          <w:sz w:val="16"/>
        </w:rPr>
        <w:t>ABONTE</w:t>
      </w:r>
      <w:r>
        <w:rPr>
          <w:rStyle w:val="CharStyle3"/>
        </w:rPr>
        <w:t xml:space="preserve">, C</w:t>
      </w:r>
      <w:r>
        <w:rPr>
          <w:rStyle w:val="CharStyle3"/>
          <w:sz w:val="16"/>
        </w:rPr>
        <w:t>ONG</w:t>
      </w:r>
      <w:r>
        <w:rPr>
          <w:rStyle w:val="CharStyle3"/>
        </w:rPr>
        <w:t xml:space="preserve">. R</w:t>
      </w:r>
      <w:r>
        <w:rPr>
          <w:rStyle w:val="CharStyle3"/>
          <w:sz w:val="16"/>
        </w:rPr>
        <w:t>SCH</w:t>
      </w:r>
      <w:r>
        <w:rPr>
          <w:rStyle w:val="CharStyle3"/>
        </w:rPr>
        <w:t xml:space="preserve">. S</w:t>
      </w:r>
      <w:r>
        <w:rPr>
          <w:rStyle w:val="CharStyle3"/>
          <w:sz w:val="16"/>
        </w:rPr>
        <w:t>ERV</w:t>
      </w:r>
      <w:r>
        <w:rPr>
          <w:rStyle w:val="CharStyle3"/>
        </w:rPr>
        <w:t xml:space="preserve">., IF0054, I</w:t>
      </w:r>
      <w:r>
        <w:rPr>
          <w:rStyle w:val="CharStyle3"/>
          <w:sz w:val="16"/>
        </w:rPr>
        <w:t xml:space="preserve">NTRODUCTION AUX SERVICES FINANCIERS</w:t>
      </w:r>
      <w:r>
        <w:rPr>
          <w:rStyle w:val="CharStyle3"/>
        </w:rPr>
        <w:t xml:space="preserve">: </w:t>
      </w:r>
      <w:r>
        <w:rPr>
          <w:rStyle w:val="CharStyle3"/>
          <w:sz w:val="16"/>
        </w:rPr>
        <w:t>LA</w:t>
      </w:r>
      <w:r>
        <w:rPr>
          <w:rStyle w:val="CharStyle3"/>
          <w:smallCaps/>
          <w:sz w:val="15"/>
        </w:rPr>
        <w:t>réserve</w:t>
      </w:r>
      <w:r>
        <w:rPr>
          <w:rStyle w:val="CharStyle3"/>
          <w:sz w:val="16"/>
        </w:rPr>
        <w:t xml:space="preserve"> FÉDÉRALE </w:t>
      </w:r>
      <w:r>
        <w:rPr>
          <w:rStyle w:val="CharStyle3"/>
        </w:rPr>
        <w:t xml:space="preserve">2 (2023) («Les économistes ont justifié l’indépendance de la Fed au motif que les décisions de politique monétaire qui sont isolées des pressions politiques à court terme se traduisent par de meilleurs résultats économiques.»).</w:t>
      </w:r>
    </w:p>
  </w:footnote>
  <w:footnote w:id="135">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12 U.S.C. § 225a.</w:t>
      </w:r>
    </w:p>
  </w:footnote>
  <w:footnote w:id="136">
    <w:p>
      <w:pPr>
        <w:pStyle w:val="Style2"/>
        <w:keepNext w:val="0"/>
        <w:keepLines w:val="0"/>
        <w:widowControl w:val="0"/>
        <w:shd w:val="clear" w:color="auto" w:fill="auto"/>
        <w:spacing w:before="0" w:after="0" w:line="240" w:lineRule="auto"/>
        <w:ind w:left="0" w:right="0" w:firstLine="0"/>
        <w:jc w:val="left"/>
      </w:pPr>
      <w:r>
        <w:rPr>
          <w:rStyle w:val="CharStyle3"/>
        </w:rPr>
        <w:footnoteRef/>
      </w:r>
      <w:r>
        <w:rPr>
          <w:rStyle w:val="CharStyle3"/>
          <w:smallCaps/>
        </w:rPr>
        <w:t>M</w:t>
      </w:r>
      <w:r>
        <w:rPr>
          <w:rStyle w:val="CharStyle3"/>
          <w:smallCaps/>
          <w:sz w:val="15"/>
        </w:rPr>
        <w:t xml:space="preserve">arc </w:t>
      </w:r>
      <w:r>
        <w:rPr>
          <w:rStyle w:val="CharStyle3"/>
          <w:smallCaps/>
        </w:rPr>
        <w:t>L</w:t>
      </w:r>
      <w:r>
        <w:rPr>
          <w:rStyle w:val="CharStyle3"/>
          <w:smallCaps/>
          <w:sz w:val="15"/>
        </w:rPr>
        <w:t>abonte</w:t>
      </w:r>
      <w:r>
        <w:rPr>
          <w:rStyle w:val="CharStyle3"/>
          <w:smallCaps/>
        </w:rPr>
        <w:t xml:space="preserve">, C</w:t>
      </w:r>
      <w:r>
        <w:rPr>
          <w:rStyle w:val="CharStyle3"/>
          <w:smallCaps/>
          <w:sz w:val="15"/>
        </w:rPr>
        <w:t>ong</w:t>
      </w:r>
      <w:r>
        <w:rPr>
          <w:rStyle w:val="CharStyle3"/>
          <w:smallCaps/>
        </w:rPr>
        <w:t xml:space="preserve">. R</w:t>
      </w:r>
      <w:r>
        <w:rPr>
          <w:rStyle w:val="CharStyle3"/>
          <w:smallCaps/>
          <w:sz w:val="15"/>
        </w:rPr>
        <w:t>sch</w:t>
      </w:r>
      <w:r>
        <w:rPr>
          <w:rStyle w:val="CharStyle3"/>
          <w:smallCaps/>
        </w:rPr>
        <w:t xml:space="preserve">. S</w:t>
      </w:r>
      <w:r>
        <w:rPr>
          <w:rStyle w:val="CharStyle3"/>
          <w:smallCaps/>
          <w:sz w:val="15"/>
        </w:rPr>
        <w:t>erv</w:t>
      </w:r>
      <w:r>
        <w:rPr>
          <w:rStyle w:val="CharStyle3"/>
          <w:smallCaps/>
        </w:rPr>
        <w:t>.,</w:t>
      </w:r>
      <w:r>
        <w:rPr>
          <w:rStyle w:val="CharStyle3"/>
        </w:rPr>
        <w:t xml:space="preserve"> IF0054, </w:t>
      </w:r>
      <w:r>
        <w:rPr>
          <w:rStyle w:val="CharStyle3"/>
          <w:smallCaps/>
        </w:rPr>
        <w:t>I</w:t>
      </w:r>
      <w:r>
        <w:rPr>
          <w:rStyle w:val="CharStyle3"/>
          <w:smallCaps/>
          <w:sz w:val="15"/>
        </w:rPr>
        <w:t xml:space="preserve">ntroduction aux services financiers</w:t>
      </w:r>
      <w:r>
        <w:rPr>
          <w:rStyle w:val="CharStyle3"/>
          <w:smallCaps/>
        </w:rPr>
        <w:t xml:space="preserve">: </w:t>
      </w:r>
      <w:r>
        <w:rPr>
          <w:rStyle w:val="CharStyle3"/>
          <w:smallCaps/>
          <w:sz w:val="15"/>
        </w:rPr>
        <w:t xml:space="preserve">la réserve fédérale</w:t>
      </w:r>
      <w:r>
        <w:rPr>
          <w:rStyle w:val="CharStyle3"/>
        </w:rPr>
        <w:t xml:space="preserve"> 1 (2023).</w:t>
      </w:r>
    </w:p>
  </w:footnote>
  <w:footnote w:id="137">
    <w:p>
      <w:pPr>
        <w:pStyle w:val="Style2"/>
        <w:keepNext w:val="0"/>
        <w:keepLines w:val="0"/>
        <w:widowControl w:val="0"/>
        <w:shd w:val="clear" w:color="auto" w:fill="auto"/>
        <w:spacing w:before="0" w:after="0" w:line="269" w:lineRule="auto"/>
        <w:ind w:left="0" w:right="0" w:firstLine="0"/>
        <w:jc w:val="left"/>
      </w:pPr>
      <w:r>
        <w:rPr>
          <w:rStyle w:val="CharStyle3"/>
        </w:rPr>
        <w:footnoteRef/>
        <w:t xml:space="preserve">U.S. </w:t>
      </w:r>
      <w:r>
        <w:rPr>
          <w:rStyle w:val="CharStyle3"/>
          <w:smallCaps/>
        </w:rPr>
        <w:t>F</w:t>
      </w:r>
      <w:r>
        <w:rPr>
          <w:rStyle w:val="CharStyle3"/>
          <w:smallCaps/>
          <w:sz w:val="15"/>
        </w:rPr>
        <w:t>ed</w:t>
      </w:r>
      <w:r>
        <w:rPr>
          <w:rStyle w:val="CharStyle3"/>
          <w:smallCaps/>
        </w:rPr>
        <w:t xml:space="preserve">. R</w:t>
      </w:r>
      <w:r>
        <w:rPr>
          <w:rStyle w:val="CharStyle3"/>
          <w:smallCaps/>
          <w:sz w:val="15"/>
        </w:rPr>
        <w:t>srv</w:t>
      </w:r>
      <w:r>
        <w:rPr>
          <w:rStyle w:val="CharStyle3"/>
          <w:smallCaps/>
        </w:rPr>
        <w:t xml:space="preserve">. S</w:t>
      </w:r>
      <w:r>
        <w:rPr>
          <w:rStyle w:val="CharStyle3"/>
          <w:smallCaps/>
          <w:sz w:val="15"/>
        </w:rPr>
        <w:t>ys</w:t>
      </w:r>
      <w:r>
        <w:rPr>
          <w:rStyle w:val="CharStyle3"/>
          <w:smallCaps/>
        </w:rPr>
        <w:t xml:space="preserve">., P</w:t>
      </w:r>
      <w:r>
        <w:rPr>
          <w:rStyle w:val="CharStyle3"/>
          <w:smallCaps/>
          <w:sz w:val="15"/>
        </w:rPr>
        <w:t>ub</w:t>
      </w:r>
      <w:r>
        <w:rPr>
          <w:rStyle w:val="CharStyle3"/>
          <w:smallCaps/>
        </w:rPr>
        <w:t xml:space="preserve">. E</w:t>
      </w:r>
      <w:r>
        <w:rPr>
          <w:rStyle w:val="CharStyle3"/>
          <w:smallCaps/>
          <w:sz w:val="15"/>
        </w:rPr>
        <w:t>duc</w:t>
      </w:r>
      <w:r>
        <w:rPr>
          <w:rStyle w:val="CharStyle3"/>
          <w:smallCaps/>
        </w:rPr>
        <w:t>.</w:t>
      </w:r>
      <w:r>
        <w:rPr>
          <w:rStyle w:val="CharStyle3"/>
        </w:rPr>
        <w:t xml:space="preserve"> &amp; </w:t>
      </w:r>
      <w:r>
        <w:rPr>
          <w:rStyle w:val="CharStyle3"/>
          <w:smallCaps/>
        </w:rPr>
        <w:t>O</w:t>
      </w:r>
      <w:r>
        <w:rPr>
          <w:rStyle w:val="CharStyle3"/>
          <w:smallCaps/>
          <w:sz w:val="15"/>
        </w:rPr>
        <w:t>utreach</w:t>
      </w:r>
      <w:r>
        <w:rPr>
          <w:rStyle w:val="CharStyle3"/>
          <w:smallCaps/>
        </w:rPr>
        <w:t xml:space="preserve">, T</w:t>
      </w:r>
      <w:r>
        <w:rPr>
          <w:rStyle w:val="CharStyle3"/>
          <w:smallCaps/>
          <w:sz w:val="15"/>
        </w:rPr>
        <w:t xml:space="preserve">he </w:t>
      </w:r>
      <w:r>
        <w:rPr>
          <w:rStyle w:val="CharStyle3"/>
          <w:smallCaps/>
        </w:rPr>
        <w:t>F</w:t>
      </w:r>
      <w:r>
        <w:rPr>
          <w:rStyle w:val="CharStyle3"/>
          <w:smallCaps/>
          <w:sz w:val="15"/>
        </w:rPr>
        <w:t xml:space="preserve">ed </w:t>
      </w:r>
      <w:r>
        <w:rPr>
          <w:rStyle w:val="CharStyle3"/>
          <w:smallCaps/>
        </w:rPr>
        <w:t>E</w:t>
      </w:r>
      <w:r>
        <w:rPr>
          <w:rStyle w:val="CharStyle3"/>
          <w:smallCaps/>
          <w:sz w:val="15"/>
        </w:rPr>
        <w:t>xplained</w:t>
      </w:r>
      <w:r>
        <w:rPr>
          <w:rStyle w:val="CharStyle3"/>
          <w:smallCaps/>
        </w:rPr>
        <w:t xml:space="preserve">: W</w:t>
      </w:r>
      <w:r>
        <w:rPr>
          <w:rStyle w:val="CharStyle3"/>
          <w:smallCaps/>
          <w:sz w:val="15"/>
        </w:rPr>
        <w:t xml:space="preserve">chapeau le </w:t>
      </w:r>
      <w:r>
        <w:rPr>
          <w:rStyle w:val="CharStyle3"/>
          <w:smallCaps/>
        </w:rPr>
        <w:t>C</w:t>
      </w:r>
      <w:r>
        <w:rPr>
          <w:rStyle w:val="CharStyle3"/>
          <w:smallCaps/>
          <w:sz w:val="15"/>
        </w:rPr>
        <w:t xml:space="preserve">entral </w:t>
      </w:r>
      <w:r>
        <w:rPr>
          <w:rStyle w:val="CharStyle3"/>
          <w:smallCaps/>
        </w:rPr>
        <w:t>B</w:t>
      </w:r>
      <w:r>
        <w:rPr>
          <w:rStyle w:val="CharStyle3"/>
          <w:smallCaps/>
          <w:sz w:val="15"/>
        </w:rPr>
        <w:t xml:space="preserve">ank </w:t>
      </w:r>
      <w:r>
        <w:rPr>
          <w:rStyle w:val="CharStyle3"/>
          <w:smallCaps/>
        </w:rPr>
        <w:t>D</w:t>
      </w:r>
      <w:r>
        <w:rPr>
          <w:rStyle w:val="CharStyle3"/>
          <w:smallCaps/>
          <w:sz w:val="15"/>
        </w:rPr>
        <w:t>oes</w:t>
      </w:r>
      <w:r>
        <w:rPr>
          <w:rStyle w:val="CharStyle3"/>
        </w:rPr>
        <w:t xml:space="preserve"> (2021), </w:t>
      </w:r>
      <w:r>
        <w:rPr>
          <w:rStyle w:val="CharStyle3"/>
          <w:smallCaps/>
          <w:sz w:val="15"/>
        </w:rPr>
        <w:t>à</w:t>
      </w:r>
      <w:r>
        <w:rPr>
          <w:rStyle w:val="CharStyle3"/>
        </w:rPr>
        <w:t xml:space="preserve"> 36.</w:t>
      </w:r>
    </w:p>
  </w:footnote>
  <w:footnote w:id="138">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3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Anna-Louise Jackson, Quantitative Easing Explained, </w:t>
      </w:r>
      <w:r>
        <w:rPr>
          <w:rStyle w:val="CharStyle3"/>
          <w:smallCaps/>
        </w:rPr>
        <w:t>F</w:t>
      </w:r>
      <w:r>
        <w:rPr>
          <w:rStyle w:val="CharStyle3"/>
          <w:smallCaps/>
          <w:sz w:val="15"/>
        </w:rPr>
        <w:t>orbes,</w:t>
      </w:r>
      <w:r>
        <w:rPr>
          <w:rStyle w:val="CharStyle3"/>
          <w:smallCaps/>
        </w:rPr>
        <w:t xml:space="preserve"> </w:t>
      </w:r>
      <w:r>
        <w:rPr>
          <w:rStyle w:val="CharStyle3"/>
        </w:rPr>
        <w:t xml:space="preserve"> 13 février 2024, p. 1.</w:t>
      </w:r>
    </w:p>
  </w:footnote>
  <w:footnote w:id="14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4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42">
    <w:p>
      <w:pPr>
        <w:pStyle w:val="Style2"/>
        <w:keepNext w:val="0"/>
        <w:keepLines w:val="0"/>
        <w:widowControl w:val="0"/>
        <w:shd w:val="clear" w:color="auto" w:fill="auto"/>
        <w:spacing w:before="0" w:after="0" w:line="240" w:lineRule="auto"/>
        <w:ind w:left="0" w:right="0" w:firstLine="0"/>
        <w:jc w:val="left"/>
      </w:pPr>
      <w:r>
        <w:rPr>
          <w:rStyle w:val="CharStyle3"/>
        </w:rPr>
        <w:footnoteRef/>
      </w:r>
      <w:r>
        <w:rPr>
          <w:rStyle w:val="CharStyle3"/>
          <w:smallCaps/>
        </w:rPr>
        <w:t>Pub</w:t>
      </w:r>
      <w:r>
        <w:rPr>
          <w:rStyle w:val="CharStyle3"/>
          <w:smallCaps/>
        </w:rPr>
        <w:t xml:space="preserve">. E</w:t>
      </w:r>
      <w:r>
        <w:rPr>
          <w:rStyle w:val="CharStyle3"/>
          <w:smallCaps/>
          <w:sz w:val="15"/>
        </w:rPr>
        <w:t>duc</w:t>
      </w:r>
      <w:r>
        <w:rPr>
          <w:rStyle w:val="CharStyle3"/>
          <w:smallCaps/>
        </w:rPr>
        <w:t>.</w:t>
      </w:r>
      <w:r>
        <w:rPr>
          <w:rStyle w:val="CharStyle3"/>
        </w:rPr>
        <w:t xml:space="preserve"> &amp; </w:t>
      </w:r>
      <w:r>
        <w:rPr>
          <w:rStyle w:val="CharStyle3"/>
          <w:smallCaps/>
        </w:rPr>
        <w:t>O</w:t>
      </w:r>
      <w:r>
        <w:rPr>
          <w:rStyle w:val="CharStyle3"/>
          <w:smallCaps/>
          <w:sz w:val="15"/>
        </w:rPr>
        <w:t>utreach</w:t>
      </w:r>
      <w:r>
        <w:rPr>
          <w:rStyle w:val="CharStyle3"/>
          <w:smallCaps/>
        </w:rPr>
        <w:t xml:space="preserve">, T</w:t>
      </w:r>
      <w:r>
        <w:rPr>
          <w:rStyle w:val="CharStyle3"/>
          <w:smallCaps/>
          <w:sz w:val="15"/>
        </w:rPr>
        <w:t xml:space="preserve">he </w:t>
      </w:r>
      <w:r>
        <w:rPr>
          <w:rStyle w:val="CharStyle3"/>
          <w:smallCaps/>
        </w:rPr>
        <w:t>F</w:t>
      </w:r>
      <w:r>
        <w:rPr>
          <w:rStyle w:val="CharStyle3"/>
          <w:smallCaps/>
          <w:sz w:val="15"/>
        </w:rPr>
        <w:t xml:space="preserve">ed </w:t>
      </w:r>
      <w:r>
        <w:rPr>
          <w:rStyle w:val="CharStyle3"/>
          <w:smallCaps/>
        </w:rPr>
        <w:t>E</w:t>
      </w:r>
      <w:r>
        <w:rPr>
          <w:rStyle w:val="CharStyle3"/>
          <w:smallCaps/>
          <w:sz w:val="15"/>
        </w:rPr>
        <w:t>xplained</w:t>
      </w:r>
      <w:r>
        <w:rPr>
          <w:rStyle w:val="CharStyle3"/>
          <w:smallCaps/>
        </w:rPr>
        <w:t xml:space="preserve">: W</w:t>
      </w:r>
      <w:r>
        <w:rPr>
          <w:rStyle w:val="CharStyle3"/>
          <w:smallCaps/>
          <w:sz w:val="15"/>
        </w:rPr>
        <w:t xml:space="preserve">hat the </w:t>
      </w:r>
      <w:r>
        <w:rPr>
          <w:rStyle w:val="CharStyle3"/>
          <w:smallCaps/>
        </w:rPr>
        <w:t>C</w:t>
      </w:r>
      <w:r>
        <w:rPr>
          <w:rStyle w:val="CharStyle3"/>
          <w:smallCaps/>
          <w:sz w:val="15"/>
        </w:rPr>
        <w:t xml:space="preserve">entral </w:t>
      </w:r>
      <w:r>
        <w:rPr>
          <w:rStyle w:val="CharStyle3"/>
          <w:smallCaps/>
        </w:rPr>
        <w:t>B</w:t>
      </w:r>
      <w:r>
        <w:rPr>
          <w:rStyle w:val="CharStyle3"/>
          <w:smallCaps/>
          <w:sz w:val="15"/>
        </w:rPr>
        <w:t xml:space="preserve">ank </w:t>
      </w:r>
      <w:r>
        <w:rPr>
          <w:rStyle w:val="CharStyle3"/>
          <w:smallCaps/>
        </w:rPr>
        <w:t>D</w:t>
      </w:r>
      <w:r>
        <w:rPr>
          <w:rStyle w:val="CharStyle3"/>
          <w:smallCaps/>
          <w:sz w:val="15"/>
        </w:rPr>
        <w:t>oes</w:t>
      </w:r>
      <w:r>
        <w:rPr>
          <w:rStyle w:val="CharStyle3"/>
          <w:smallCaps/>
        </w:rPr>
        <w:t>,</w:t>
      </w:r>
      <w:r>
        <w:rPr>
          <w:rStyle w:val="CharStyle3"/>
        </w:rPr>
        <w:t xml:space="preserve"> U.S. </w:t>
      </w:r>
      <w:r>
        <w:rPr>
          <w:rStyle w:val="CharStyle3"/>
          <w:smallCaps/>
        </w:rPr>
        <w:t>F</w:t>
      </w:r>
      <w:r>
        <w:rPr>
          <w:rStyle w:val="CharStyle3"/>
          <w:smallCaps/>
          <w:sz w:val="15"/>
        </w:rPr>
        <w:t>ed</w:t>
      </w:r>
      <w:r>
        <w:rPr>
          <w:rStyle w:val="CharStyle3"/>
          <w:smallCaps/>
        </w:rPr>
        <w:t xml:space="preserve">. R</w:t>
      </w:r>
      <w:r>
        <w:rPr>
          <w:rStyle w:val="CharStyle3"/>
          <w:smallCaps/>
          <w:sz w:val="15"/>
        </w:rPr>
        <w:t>srv</w:t>
      </w:r>
      <w:r>
        <w:rPr>
          <w:rStyle w:val="CharStyle3"/>
          <w:smallCaps/>
        </w:rPr>
        <w:t xml:space="preserve">. S</w:t>
      </w:r>
      <w:r>
        <w:rPr>
          <w:rStyle w:val="CharStyle3"/>
          <w:smallCaps/>
          <w:sz w:val="15"/>
        </w:rPr>
        <w:t>ys</w:t>
      </w:r>
      <w:r>
        <w:rPr>
          <w:rStyle w:val="CharStyle3"/>
          <w:smallCaps/>
        </w:rPr>
        <w:t>.,</w:t>
      </w:r>
      <w:r>
        <w:rPr>
          <w:rStyle w:val="CharStyle3"/>
        </w:rPr>
        <w:t xml:space="preserve"> p. 32 (2021).</w:t>
      </w:r>
    </w:p>
  </w:footnote>
  <w:footnote w:id="143">
    <w:p>
      <w:pPr>
        <w:pStyle w:val="Style2"/>
        <w:keepNext w:val="0"/>
        <w:keepLines w:val="0"/>
        <w:widowControl w:val="0"/>
        <w:shd w:val="clear" w:color="auto" w:fill="auto"/>
        <w:spacing w:before="0" w:after="0" w:line="276" w:lineRule="auto"/>
        <w:ind w:left="0" w:right="0" w:firstLine="0"/>
        <w:jc w:val="left"/>
      </w:pPr>
      <w:r>
        <w:rPr>
          <w:rStyle w:val="CharStyle3"/>
        </w:rPr>
        <w:footnoteRef/>
        <w:t xml:space="preserve">U.S. </w:t>
      </w:r>
      <w:r>
        <w:rPr>
          <w:rStyle w:val="CharStyle3"/>
          <w:smallCaps/>
        </w:rPr>
        <w:t>F</w:t>
      </w:r>
      <w:r>
        <w:rPr>
          <w:rStyle w:val="CharStyle3"/>
          <w:smallCaps/>
          <w:sz w:val="15"/>
        </w:rPr>
        <w:t>ed</w:t>
      </w:r>
      <w:r>
        <w:rPr>
          <w:rStyle w:val="CharStyle3"/>
          <w:smallCaps/>
        </w:rPr>
        <w:t xml:space="preserve">. R</w:t>
      </w:r>
      <w:r>
        <w:rPr>
          <w:rStyle w:val="CharStyle3"/>
          <w:smallCaps/>
          <w:sz w:val="15"/>
        </w:rPr>
        <w:t>srv</w:t>
      </w:r>
      <w:r>
        <w:rPr>
          <w:rStyle w:val="CharStyle3"/>
          <w:smallCaps/>
        </w:rPr>
        <w:t xml:space="preserve">. S</w:t>
      </w:r>
      <w:r>
        <w:rPr>
          <w:rStyle w:val="CharStyle3"/>
          <w:smallCaps/>
          <w:sz w:val="15"/>
        </w:rPr>
        <w:t>ys</w:t>
      </w:r>
      <w:r>
        <w:rPr>
          <w:rStyle w:val="CharStyle3"/>
          <w:smallCaps/>
        </w:rPr>
        <w:t xml:space="preserve">., P</w:t>
      </w:r>
      <w:r>
        <w:rPr>
          <w:rStyle w:val="CharStyle3"/>
          <w:smallCaps/>
          <w:sz w:val="15"/>
        </w:rPr>
        <w:t>ub</w:t>
      </w:r>
      <w:r>
        <w:rPr>
          <w:rStyle w:val="CharStyle3"/>
          <w:smallCaps/>
        </w:rPr>
        <w:t xml:space="preserve">. E</w:t>
      </w:r>
      <w:r>
        <w:rPr>
          <w:rStyle w:val="CharStyle3"/>
          <w:smallCaps/>
          <w:sz w:val="15"/>
        </w:rPr>
        <w:t>duc</w:t>
      </w:r>
      <w:r>
        <w:rPr>
          <w:rStyle w:val="CharStyle3"/>
          <w:smallCaps/>
        </w:rPr>
        <w:t>.</w:t>
      </w:r>
      <w:r>
        <w:rPr>
          <w:rStyle w:val="CharStyle3"/>
        </w:rPr>
        <w:t xml:space="preserve"> &amp; </w:t>
      </w:r>
      <w:r>
        <w:rPr>
          <w:rStyle w:val="CharStyle3"/>
          <w:smallCaps/>
        </w:rPr>
        <w:t>O</w:t>
      </w:r>
      <w:r>
        <w:rPr>
          <w:rStyle w:val="CharStyle3"/>
          <w:smallCaps/>
          <w:sz w:val="15"/>
        </w:rPr>
        <w:t>utreach</w:t>
      </w:r>
      <w:r>
        <w:rPr>
          <w:rStyle w:val="CharStyle3"/>
          <w:smallCaps/>
        </w:rPr>
        <w:t xml:space="preserve">, T</w:t>
      </w:r>
      <w:r>
        <w:rPr>
          <w:rStyle w:val="CharStyle3"/>
          <w:smallCaps/>
          <w:sz w:val="15"/>
        </w:rPr>
        <w:t xml:space="preserve">he </w:t>
      </w:r>
      <w:r>
        <w:rPr>
          <w:rStyle w:val="CharStyle3"/>
          <w:smallCaps/>
        </w:rPr>
        <w:t>F</w:t>
      </w:r>
      <w:r>
        <w:rPr>
          <w:rStyle w:val="CharStyle3"/>
          <w:smallCaps/>
          <w:sz w:val="15"/>
        </w:rPr>
        <w:t xml:space="preserve">ed </w:t>
      </w:r>
      <w:r>
        <w:rPr>
          <w:rStyle w:val="CharStyle3"/>
          <w:smallCaps/>
        </w:rPr>
        <w:t>E</w:t>
      </w:r>
      <w:r>
        <w:rPr>
          <w:rStyle w:val="CharStyle3"/>
          <w:smallCaps/>
          <w:sz w:val="15"/>
        </w:rPr>
        <w:t>xplained</w:t>
      </w:r>
      <w:r>
        <w:rPr>
          <w:rStyle w:val="CharStyle3"/>
          <w:smallCaps/>
        </w:rPr>
        <w:t xml:space="preserve">: W</w:t>
      </w:r>
      <w:r>
        <w:rPr>
          <w:rStyle w:val="CharStyle3"/>
          <w:smallCaps/>
          <w:sz w:val="15"/>
        </w:rPr>
        <w:t xml:space="preserve">chapeau le </w:t>
      </w:r>
      <w:r>
        <w:rPr>
          <w:rStyle w:val="CharStyle3"/>
          <w:smallCaps/>
        </w:rPr>
        <w:t>C</w:t>
      </w:r>
      <w:r>
        <w:rPr>
          <w:rStyle w:val="CharStyle3"/>
          <w:smallCaps/>
          <w:sz w:val="15"/>
        </w:rPr>
        <w:t xml:space="preserve">entral </w:t>
      </w:r>
      <w:r>
        <w:rPr>
          <w:rStyle w:val="CharStyle3"/>
          <w:smallCaps/>
        </w:rPr>
        <w:t>B</w:t>
      </w:r>
      <w:r>
        <w:rPr>
          <w:rStyle w:val="CharStyle3"/>
          <w:smallCaps/>
          <w:sz w:val="15"/>
        </w:rPr>
        <w:t xml:space="preserve">ank </w:t>
      </w:r>
      <w:r>
        <w:rPr>
          <w:rStyle w:val="CharStyle3"/>
          <w:smallCaps/>
        </w:rPr>
        <w:t>D</w:t>
      </w:r>
      <w:r>
        <w:rPr>
          <w:rStyle w:val="CharStyle3"/>
          <w:smallCaps/>
          <w:sz w:val="15"/>
        </w:rPr>
        <w:t>oes</w:t>
      </w:r>
      <w:r>
        <w:rPr>
          <w:rStyle w:val="CharStyle3"/>
        </w:rPr>
        <w:t xml:space="preserve"> (2021), </w:t>
      </w:r>
      <w:r>
        <w:rPr>
          <w:rStyle w:val="CharStyle3"/>
          <w:smallCaps/>
          <w:sz w:val="15"/>
        </w:rPr>
        <w:t>à</w:t>
      </w:r>
      <w:r>
        <w:rPr>
          <w:rStyle w:val="CharStyle3"/>
        </w:rPr>
        <w:t xml:space="preserve"> 32.</w:t>
      </w:r>
    </w:p>
  </w:footnote>
  <w:footnote w:id="144">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4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à 50.</w:t>
      </w:r>
    </w:p>
  </w:footnote>
  <w:footnote w:id="14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MARC LABONTE, CONG. RSCH. SERV., R44185, RÉSERVE FÉDÉRALE: PRÊT D’URGENCE 15 (2020) [notant que la Réserve fédérale n’est pas autorisée à agir en tant que prêteur de dernier recours auprès d’entreprises insolvables et discutant du débat sur la question de savoir si les quatre banques «trop grandes pour faire faillite» étaient réellement insolvables au moment de l’intervention de la Réserve fédérale lors de la crise financière de 2007-09].</w:t>
      </w:r>
    </w:p>
  </w:footnote>
  <w:footnote w:id="14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4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La fenêtre de réduction, T</w:t>
      </w:r>
      <w:r>
        <w:rPr>
          <w:rStyle w:val="CharStyle3"/>
          <w:sz w:val="16"/>
        </w:rPr>
        <w:t xml:space="preserve">HE </w:t>
      </w:r>
      <w:r>
        <w:rPr>
          <w:rStyle w:val="CharStyle3"/>
        </w:rPr>
        <w:t>F</w:t>
      </w:r>
      <w:r>
        <w:rPr>
          <w:rStyle w:val="CharStyle3"/>
          <w:sz w:val="16"/>
        </w:rPr>
        <w:t>ED</w:t>
      </w:r>
      <w:r>
        <w:rPr>
          <w:rStyle w:val="CharStyle3"/>
        </w:rPr>
        <w:t xml:space="preserve">. R</w:t>
      </w:r>
      <w:r>
        <w:rPr>
          <w:rStyle w:val="CharStyle3"/>
          <w:sz w:val="16"/>
        </w:rPr>
        <w:t>SRV</w:t>
      </w:r>
      <w:r>
        <w:rPr>
          <w:rStyle w:val="CharStyle3"/>
        </w:rPr>
        <w:t xml:space="preserve">. D</w:t>
      </w:r>
      <w:r>
        <w:rPr>
          <w:rStyle w:val="CharStyle3"/>
          <w:sz w:val="16"/>
        </w:rPr>
        <w:t xml:space="preserve">CIS .</w:t>
      </w:r>
      <w:r>
        <w:rPr>
          <w:rStyle w:val="CharStyle3"/>
        </w:rPr>
        <w:t xml:space="preserve"> W</w:t>
      </w:r>
      <w:r>
        <w:rPr>
          <w:rStyle w:val="CharStyle3"/>
          <w:sz w:val="16"/>
        </w:rPr>
        <w:t xml:space="preserve">INDOW </w:t>
      </w:r>
      <w:r>
        <w:rPr>
          <w:rStyle w:val="CharStyle3"/>
        </w:rPr>
        <w:t>P</w:t>
      </w:r>
      <w:r>
        <w:rPr>
          <w:rStyle w:val="CharStyle3"/>
          <w:sz w:val="16"/>
        </w:rPr>
        <w:t xml:space="preserve">AYMENT </w:t>
      </w:r>
      <w:r>
        <w:rPr>
          <w:rStyle w:val="CharStyle3"/>
        </w:rPr>
        <w:t>S</w:t>
      </w:r>
      <w:r>
        <w:rPr>
          <w:rStyle w:val="CharStyle3"/>
          <w:sz w:val="16"/>
        </w:rPr>
        <w:t>YS</w:t>
      </w:r>
      <w:r>
        <w:rPr>
          <w:rStyle w:val="CharStyle3"/>
        </w:rPr>
        <w:t xml:space="preserve">. R</w:t>
      </w:r>
      <w:r>
        <w:rPr>
          <w:rStyle w:val="CharStyle3"/>
          <w:sz w:val="16"/>
        </w:rPr>
        <w:t>ISK</w:t>
      </w:r>
      <w:r>
        <w:rPr>
          <w:rStyle w:val="CharStyle3"/>
        </w:rPr>
        <w:t xml:space="preserve">, disponible à l’adresse suivante:</w:t>
      </w:r>
    </w:p>
    <w:p>
      <w:pPr>
        <w:pStyle w:val="Style2"/>
        <w:keepNext w:val="0"/>
        <w:keepLines w:val="0"/>
        <w:widowControl w:val="0"/>
        <w:shd w:val="clear" w:color="auto" w:fill="auto"/>
        <w:spacing w:before="0" w:after="0" w:line="240" w:lineRule="auto"/>
        <w:ind w:left="0" w:right="0" w:firstLine="0"/>
        <w:jc w:val="left"/>
      </w:pPr>
      <w:r>
        <w:fldChar w:fldCharType="begin"/>
      </w:r>
      <w:r>
        <w:rPr/>
        <w:instrText> HYPERLINK "https://www.frbdiscountwindow.org/Pages/General-Information/The-Discount-" </w:instrText>
      </w:r>
      <w:r>
        <w:fldChar w:fldCharType="separate"/>
      </w:r>
      <w:r>
        <w:rPr>
          <w:rStyle w:val="CharStyle3"/>
        </w:rPr>
        <w:t xml:space="preserve">https://www.frbdiscountwindow.org/Pages/Information générale/The-Discount-</w:t>
      </w:r>
      <w:r>
        <w:fldChar w:fldCharType="end"/>
      </w:r>
    </w:p>
    <w:p>
      <w:pPr>
        <w:pStyle w:val="Style2"/>
        <w:keepNext w:val="0"/>
        <w:keepLines w:val="0"/>
        <w:widowControl w:val="0"/>
        <w:shd w:val="clear" w:color="auto" w:fill="auto"/>
        <w:spacing w:before="0" w:after="0" w:line="240" w:lineRule="auto"/>
        <w:ind w:left="0" w:right="0" w:firstLine="0"/>
        <w:jc w:val="left"/>
      </w:pPr>
      <w:r>
        <w:rPr>
          <w:rStyle w:val="CharStyle3"/>
        </w:rPr>
        <w:t xml:space="preserve">Window#:~:text=Most%20performing%20or%20investment%20grade,to%20secure%20Discount%20Window%20l oans (7 juin 2024).</w:t>
      </w:r>
    </w:p>
  </w:footnote>
  <w:footnote w:id="149">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5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343(3)(A).</w:t>
      </w:r>
    </w:p>
  </w:footnote>
  <w:footnote w:id="151">
    <w:p>
      <w:pPr>
        <w:pStyle w:val="Style2"/>
        <w:keepNext w:val="0"/>
        <w:keepLines w:val="0"/>
        <w:widowControl w:val="0"/>
        <w:shd w:val="clear" w:color="auto" w:fill="auto"/>
        <w:spacing w:before="0" w:after="0" w:line="240" w:lineRule="auto"/>
        <w:ind w:left="0" w:right="0" w:firstLine="0"/>
        <w:jc w:val="left"/>
      </w:pPr>
      <w:r>
        <w:rPr>
          <w:rStyle w:val="CharStyle3"/>
        </w:rPr>
        <w:footnoteRef/>
      </w:r>
      <w:r>
        <w:rPr>
          <w:rStyle w:val="CharStyle3"/>
          <w:smallCaps/>
        </w:rPr>
        <w:t>M</w:t>
      </w:r>
      <w:r>
        <w:rPr>
          <w:rStyle w:val="CharStyle3"/>
          <w:smallCaps/>
          <w:sz w:val="15"/>
        </w:rPr>
        <w:t xml:space="preserve">arc </w:t>
      </w:r>
      <w:r>
        <w:rPr>
          <w:rStyle w:val="CharStyle3"/>
          <w:smallCaps/>
        </w:rPr>
        <w:t>L</w:t>
      </w:r>
      <w:r>
        <w:rPr>
          <w:rStyle w:val="CharStyle3"/>
          <w:smallCaps/>
          <w:sz w:val="15"/>
        </w:rPr>
        <w:t>abonte</w:t>
      </w:r>
      <w:r>
        <w:rPr>
          <w:rStyle w:val="CharStyle3"/>
          <w:smallCaps/>
        </w:rPr>
        <w:t xml:space="preserve">, C</w:t>
      </w:r>
      <w:r>
        <w:rPr>
          <w:rStyle w:val="CharStyle3"/>
          <w:smallCaps/>
          <w:sz w:val="15"/>
        </w:rPr>
        <w:t>ong</w:t>
      </w:r>
      <w:r>
        <w:rPr>
          <w:rStyle w:val="CharStyle3"/>
          <w:smallCaps/>
        </w:rPr>
        <w:t xml:space="preserve">. R</w:t>
      </w:r>
      <w:r>
        <w:rPr>
          <w:rStyle w:val="CharStyle3"/>
          <w:smallCaps/>
          <w:sz w:val="15"/>
        </w:rPr>
        <w:t>sch</w:t>
      </w:r>
      <w:r>
        <w:rPr>
          <w:rStyle w:val="CharStyle3"/>
          <w:smallCaps/>
        </w:rPr>
        <w:t xml:space="preserve">. S</w:t>
      </w:r>
      <w:r>
        <w:rPr>
          <w:rStyle w:val="CharStyle3"/>
          <w:smallCaps/>
          <w:sz w:val="15"/>
        </w:rPr>
        <w:t>erv</w:t>
      </w:r>
      <w:r>
        <w:rPr>
          <w:rStyle w:val="CharStyle3"/>
          <w:smallCaps/>
        </w:rPr>
        <w:t>.,</w:t>
      </w:r>
      <w:r>
        <w:rPr>
          <w:rStyle w:val="CharStyle3"/>
        </w:rPr>
        <w:t xml:space="preserve"> R44185, </w:t>
      </w:r>
      <w:r>
        <w:rPr>
          <w:rStyle w:val="CharStyle3"/>
          <w:smallCaps/>
          <w:sz w:val="15"/>
        </w:rPr>
        <w:t xml:space="preserve">réserve fédérale</w:t>
      </w:r>
      <w:r>
        <w:rPr>
          <w:rStyle w:val="CharStyle3"/>
          <w:smallCaps/>
        </w:rPr>
        <w:t xml:space="preserve">: E</w:t>
      </w:r>
      <w:r>
        <w:rPr>
          <w:rStyle w:val="CharStyle3"/>
          <w:smallCaps/>
          <w:sz w:val="15"/>
        </w:rPr>
        <w:t xml:space="preserve">mergency </w:t>
      </w:r>
      <w:r>
        <w:rPr>
          <w:rStyle w:val="CharStyle3"/>
          <w:smallCaps/>
        </w:rPr>
        <w:t>L</w:t>
      </w:r>
      <w:r>
        <w:rPr>
          <w:rStyle w:val="CharStyle3"/>
          <w:smallCaps/>
          <w:sz w:val="15"/>
        </w:rPr>
        <w:t xml:space="preserve">se terminant</w:t>
      </w:r>
      <w:r>
        <w:rPr>
          <w:rStyle w:val="CharStyle3"/>
        </w:rPr>
        <w:t xml:space="preserve"> les 6 et 7 (2020).</w:t>
      </w:r>
    </w:p>
  </w:footnote>
  <w:footnote w:id="15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343(3)(A).</w:t>
      </w:r>
    </w:p>
  </w:footnote>
  <w:footnote w:id="15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343(3)(B)(ii).</w:t>
      </w:r>
    </w:p>
  </w:footnote>
  <w:footnote w:id="15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343(3)B)(iv).</w:t>
      </w:r>
    </w:p>
  </w:footnote>
  <w:footnote w:id="15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12 U.S.C. § 343(3)C).</w:t>
      </w:r>
    </w:p>
  </w:footnote>
  <w:footnote w:id="156">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Réunion, 28-29 janvier 2020 (29 janvier 2020).</w:t>
      </w:r>
    </w:p>
  </w:footnote>
  <w:footnote w:id="157">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Déclaration du président de la Réserve fédérale Jerome H. Powell, 28 février 2020 (28 février 2020).</w:t>
      </w:r>
    </w:p>
  </w:footnote>
  <w:footnote w:id="158">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Réunion, 3 mars 2020 (3 mars 2020).</w:t>
      </w:r>
    </w:p>
  </w:footnote>
  <w:footnote w:id="159">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Meeting, 15 mars 2020 (Unscheduled) (15 mars 2020).</w:t>
      </w:r>
    </w:p>
  </w:footnote>
  <w:footnote w:id="160">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Board Announces Establishment of a Commercial Paper Funding Facility (CPFF) to Support the Flow of Credit to Households and Businesses, 17 mars 2020 (17 mars 2020).</w:t>
      </w:r>
    </w:p>
  </w:footnote>
  <w:footnote w:id="161">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Fed. Rsrv., Federal Reserve Board Broadens Program of Support for the Flow of Credit to Households and Businesses by Establishing a Money Market Mutual Fund Liquidity Facility (MMLF), 18 mars 2020 (18 mars 2020).</w:t>
      </w:r>
    </w:p>
  </w:footnote>
  <w:footnote w:id="162">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Fed. Rsrv., Federal Reserve Announces Extensive New Measures to Support the Economy, 23 mars 2020 (23 mars 2020).</w:t>
      </w:r>
    </w:p>
  </w:footnote>
  <w:footnote w:id="163">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will Establish a Facility to Facilitate Lending to Small Businesses Via the Small Business Administration's Paycheck Protection Program (PPP) by Provide Term Financing Backed by PPP Loans, 6 avril 2020 (6 avril 2020).</w:t>
      </w:r>
    </w:p>
  </w:footnote>
  <w:footnote w:id="164">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Takes Additional Actions to Provide up to $2.3 Trillion in Loans to Support the Economy, 9 avril 2020 (9 avril 2020).</w:t>
      </w:r>
    </w:p>
  </w:footnote>
  <w:footnote w:id="165">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Publie Updates to the Term Sheet for the Term Asset-Backed Securities Loan Facility (TALF) and Announces Information to be Disclosed Monthly for the TALF and the Paycheck Protection Program Liquidity Facility, 12 mai 2020 (12 mai 2020).</w:t>
      </w:r>
    </w:p>
  </w:footnote>
  <w:footnote w:id="166">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Board Expands its Main Street Lending Program to Allow More Small and Medium-Sized Businesses to be Able to Receive Support, 8 juin 2020 (Jun. 8, 2020).</w:t>
      </w:r>
    </w:p>
  </w:footnote>
  <w:footnote w:id="167">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La Fed. Rsrv., Federal Reserve Board annonce une prolongation jusqu'au 31 décembre de ses facilités de prêt qui devaient expirer le ou vers le 30 septembre, 28 juillet 2020 (Jul. 29, 2020).</w:t>
      </w:r>
    </w:p>
  </w:footnote>
  <w:footnote w:id="16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Déclaration sur les objectifs à plus long terme et la stratégie de politique monétaire, Conseil des gouverneurs de la Fed. Rsrv. Système (Adopté en vigueur le 24 janvier 2012, réaffirmé en vigueur le 30 janvier 2024).</w:t>
      </w:r>
    </w:p>
  </w:footnote>
  <w:footnote w:id="169">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Releases a FOMC statement (16 septembre 2020).</w:t>
      </w:r>
    </w:p>
  </w:footnote>
  <w:footnote w:id="170">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Releases a FOMC statement (16 décembre 2020).</w:t>
      </w:r>
    </w:p>
  </w:footnote>
  <w:footnote w:id="171">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Note de mise en œuvre publiée le 27 janvier 2021 (27 janvier 2021).</w:t>
      </w:r>
    </w:p>
  </w:footnote>
  <w:footnote w:id="172">
    <w:p>
      <w:pPr>
        <w:pStyle w:val="Style2"/>
        <w:keepNext w:val="0"/>
        <w:keepLines w:val="0"/>
        <w:widowControl w:val="0"/>
        <w:shd w:val="clear" w:color="auto" w:fill="auto"/>
        <w:tabs>
          <w:tab w:pos="3470" w:val="right"/>
          <w:tab w:pos="4824" w:val="right"/>
          <w:tab w:pos="4958" w:val="right"/>
          <w:tab w:pos="6403" w:val="right"/>
          <w:tab w:pos="6451" w:val="left"/>
        </w:tabs>
        <w:spacing w:before="0" w:after="0" w:line="240" w:lineRule="auto"/>
        <w:ind w:left="0" w:right="0" w:firstLine="0"/>
        <w:jc w:val="left"/>
      </w:pPr>
      <w:r>
        <w:rPr>
          <w:rStyle w:val="CharStyle3"/>
        </w:rPr>
        <w:footnoteRef/>
        <w:t xml:space="preserve">Communiqué de presse, La Fed.</w:t>
        <w:tab/>
        <w:t xml:space="preserve">Rsrv., Fédéral</w:t>
        <w:tab/>
        <w:t xml:space="preserve">Libérations de réserve</w:t>
        <w:tab/>
        <w:t>a</w:t>
        <w:tab/>
        <w:t xml:space="preserve">Déclaration du FOMC</w:t>
        <w:tab/>
        <w:t xml:space="preserve">(17 mars 2021).</w:t>
      </w:r>
    </w:p>
  </w:footnote>
  <w:footnote w:id="173">
    <w:p>
      <w:pPr>
        <w:pStyle w:val="Style2"/>
        <w:keepNext w:val="0"/>
        <w:keepLines w:val="0"/>
        <w:widowControl w:val="0"/>
        <w:shd w:val="clear" w:color="auto" w:fill="auto"/>
        <w:tabs>
          <w:tab w:pos="3470" w:val="right"/>
          <w:tab w:pos="4824" w:val="right"/>
          <w:tab w:pos="4958" w:val="right"/>
          <w:tab w:pos="6403" w:val="right"/>
          <w:tab w:pos="6451" w:val="left"/>
        </w:tabs>
        <w:spacing w:before="0" w:after="0" w:line="240" w:lineRule="auto"/>
        <w:ind w:left="0" w:right="0" w:firstLine="0"/>
        <w:jc w:val="left"/>
      </w:pPr>
      <w:r>
        <w:rPr>
          <w:rStyle w:val="CharStyle3"/>
        </w:rPr>
        <w:footnoteRef/>
        <w:t xml:space="preserve">Communiqué de presse, La Fed.</w:t>
        <w:tab/>
        <w:t xml:space="preserve">Rsrv., Fédéral</w:t>
        <w:tab/>
        <w:t xml:space="preserve">Libérations de réserve</w:t>
        <w:tab/>
        <w:t>a</w:t>
        <w:tab/>
        <w:t xml:space="preserve">Déclaration du FOMC</w:t>
        <w:tab/>
        <w:t xml:space="preserve">(28 avril 2021).</w:t>
      </w:r>
    </w:p>
  </w:footnote>
  <w:footnote w:id="174">
    <w:p>
      <w:pPr>
        <w:pStyle w:val="Style2"/>
        <w:keepNext w:val="0"/>
        <w:keepLines w:val="0"/>
        <w:widowControl w:val="0"/>
        <w:shd w:val="clear" w:color="auto" w:fill="auto"/>
        <w:tabs>
          <w:tab w:pos="3470" w:val="right"/>
          <w:tab w:pos="4824" w:val="right"/>
          <w:tab w:pos="4958" w:val="right"/>
          <w:tab w:pos="6403" w:val="right"/>
          <w:tab w:pos="6451" w:val="left"/>
        </w:tabs>
        <w:spacing w:before="0" w:after="0" w:line="240" w:lineRule="auto"/>
        <w:ind w:left="0" w:right="0" w:firstLine="0"/>
        <w:jc w:val="left"/>
      </w:pPr>
      <w:r>
        <w:rPr>
          <w:rStyle w:val="CharStyle3"/>
        </w:rPr>
        <w:footnoteRef/>
        <w:t xml:space="preserve">Communiqué de presse, La Fed.</w:t>
        <w:tab/>
        <w:t xml:space="preserve">Rsrv., Fédéral</w:t>
        <w:tab/>
        <w:t xml:space="preserve">Libérations de réserve</w:t>
        <w:tab/>
        <w:t>a</w:t>
        <w:tab/>
        <w:t xml:space="preserve">Déclaration du FOMC</w:t>
        <w:tab/>
        <w:t xml:space="preserve">(juin. 16, 2021).</w:t>
      </w:r>
    </w:p>
  </w:footnote>
  <w:footnote w:id="175">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Releases a FOMC statement (3 novembre 2021).</w:t>
      </w:r>
    </w:p>
  </w:footnote>
  <w:footnote w:id="176">
    <w:p>
      <w:pPr>
        <w:pStyle w:val="Style2"/>
        <w:keepNext w:val="0"/>
        <w:keepLines w:val="0"/>
        <w:widowControl w:val="0"/>
        <w:shd w:val="clear" w:color="auto" w:fill="auto"/>
        <w:tabs>
          <w:tab w:pos="3470" w:val="right"/>
          <w:tab w:pos="4824" w:val="right"/>
          <w:tab w:pos="4958" w:val="right"/>
          <w:tab w:pos="6403" w:val="right"/>
          <w:tab w:pos="6451" w:val="left"/>
        </w:tabs>
        <w:spacing w:before="0" w:after="0" w:line="240" w:lineRule="auto"/>
        <w:ind w:left="0" w:right="0" w:firstLine="0"/>
        <w:jc w:val="left"/>
      </w:pPr>
      <w:r>
        <w:rPr>
          <w:rStyle w:val="CharStyle3"/>
        </w:rPr>
        <w:footnoteRef/>
        <w:t xml:space="preserve">Communiqué de presse, La Fed.</w:t>
        <w:tab/>
        <w:t xml:space="preserve">Rsrv., Fédéral</w:t>
        <w:tab/>
        <w:t xml:space="preserve">Libérations de réserve</w:t>
        <w:tab/>
        <w:t>a</w:t>
        <w:tab/>
        <w:t xml:space="preserve">Déclaration du FOMC</w:t>
        <w:tab/>
        <w:t xml:space="preserve">(15 décembre 2021).</w:t>
      </w:r>
    </w:p>
  </w:footnote>
  <w:footnote w:id="177">
    <w:p>
      <w:pPr>
        <w:pStyle w:val="Style2"/>
        <w:keepNext w:val="0"/>
        <w:keepLines w:val="0"/>
        <w:widowControl w:val="0"/>
        <w:shd w:val="clear" w:color="auto" w:fill="auto"/>
        <w:tabs>
          <w:tab w:pos="3470" w:val="right"/>
          <w:tab w:pos="4824" w:val="right"/>
          <w:tab w:pos="4958" w:val="right"/>
          <w:tab w:pos="6403" w:val="right"/>
          <w:tab w:pos="6451" w:val="left"/>
        </w:tabs>
        <w:spacing w:before="0" w:after="0" w:line="240" w:lineRule="auto"/>
        <w:ind w:left="0" w:right="0" w:firstLine="0"/>
        <w:jc w:val="left"/>
      </w:pPr>
      <w:r>
        <w:rPr>
          <w:rStyle w:val="CharStyle3"/>
        </w:rPr>
        <w:footnoteRef/>
        <w:t xml:space="preserve">Communiqué de presse, La Fed.</w:t>
        <w:tab/>
        <w:t xml:space="preserve">Rsrv., Fédéral</w:t>
        <w:tab/>
        <w:t xml:space="preserve">Libérations de réserve</w:t>
        <w:tab/>
        <w:t>a</w:t>
        <w:tab/>
        <w:t xml:space="preserve">Déclaration du FOMC</w:t>
        <w:tab/>
        <w:t xml:space="preserve">(16 mars 2022).</w:t>
      </w:r>
    </w:p>
  </w:footnote>
  <w:footnote w:id="178">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Meeting, 15 mars 2020 (Unscheduled) (15 mars 2020).</w:t>
      </w:r>
    </w:p>
  </w:footnote>
  <w:footnote w:id="179">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The Fed. Rsrv., Federal Reserve Releases a FOMC statement (15 mars 2022).</w:t>
      </w:r>
    </w:p>
  </w:footnote>
  <w:footnote w:id="18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Eric Milstein &amp; David Wessel, What did the Fed do in response to the COVID-19 crisis?, T</w:t>
      </w:r>
      <w:r>
        <w:rPr>
          <w:rStyle w:val="CharStyle3"/>
          <w:sz w:val="16"/>
        </w:rPr>
        <w:t xml:space="preserve">HE </w:t>
      </w:r>
      <w:r>
        <w:rPr>
          <w:rStyle w:val="CharStyle3"/>
        </w:rPr>
        <w:t>B</w:t>
      </w:r>
      <w:r>
        <w:rPr>
          <w:rStyle w:val="CharStyle3"/>
          <w:sz w:val="16"/>
        </w:rPr>
        <w:t xml:space="preserve">OOKINGS </w:t>
      </w:r>
      <w:r>
        <w:rPr>
          <w:rStyle w:val="CharStyle3"/>
          <w:smallCaps/>
        </w:rPr>
        <w:t>I</w:t>
      </w:r>
      <w:r>
        <w:rPr>
          <w:rStyle w:val="CharStyle3"/>
          <w:smallCaps/>
          <w:sz w:val="15"/>
        </w:rPr>
        <w:t>nst.,</w:t>
      </w:r>
      <w:r>
        <w:rPr>
          <w:rStyle w:val="CharStyle3"/>
          <w:smallCaps/>
        </w:rPr>
        <w:t xml:space="preserve"> </w:t>
      </w:r>
      <w:r>
        <w:rPr>
          <w:rStyle w:val="CharStyle3"/>
        </w:rPr>
        <w:t xml:space="preserve"> 2 janvier 2024, au tableau 1 (listing pandemic-era facilities established by the Fed).</w:t>
      </w:r>
    </w:p>
  </w:footnote>
  <w:footnote w:id="181">
    <w:p>
      <w:pPr>
        <w:pStyle w:val="Style2"/>
        <w:keepNext w:val="0"/>
        <w:keepLines w:val="0"/>
        <w:widowControl w:val="0"/>
        <w:shd w:val="clear" w:color="auto" w:fill="auto"/>
        <w:spacing w:before="0" w:after="0" w:line="276" w:lineRule="auto"/>
        <w:ind w:left="0" w:right="0" w:firstLine="0"/>
        <w:jc w:val="left"/>
      </w:pPr>
      <w:r>
        <w:rPr>
          <w:rStyle w:val="CharStyle3"/>
        </w:rPr>
        <w:footnoteRef/>
      </w:r>
      <w:r>
        <w:rPr>
          <w:rStyle w:val="CharStyle3"/>
          <w:smallCaps/>
        </w:rPr>
        <w:t>M</w:t>
      </w:r>
      <w:r>
        <w:rPr>
          <w:rStyle w:val="CharStyle3"/>
          <w:smallCaps/>
          <w:sz w:val="15"/>
        </w:rPr>
        <w:t xml:space="preserve">arc </w:t>
      </w:r>
      <w:r>
        <w:rPr>
          <w:rStyle w:val="CharStyle3"/>
          <w:smallCaps/>
        </w:rPr>
        <w:t>L</w:t>
      </w:r>
      <w:r>
        <w:rPr>
          <w:rStyle w:val="CharStyle3"/>
          <w:smallCaps/>
          <w:sz w:val="15"/>
        </w:rPr>
        <w:t>abonte</w:t>
      </w:r>
      <w:r>
        <w:rPr>
          <w:rStyle w:val="CharStyle3"/>
        </w:rPr>
        <w:t xml:space="preserve"> &amp; </w:t>
      </w:r>
      <w:r>
        <w:rPr>
          <w:rStyle w:val="CharStyle3"/>
          <w:smallCaps/>
        </w:rPr>
        <w:t>L</w:t>
      </w:r>
      <w:r>
        <w:rPr>
          <w:rStyle w:val="CharStyle3"/>
          <w:smallCaps/>
          <w:sz w:val="15"/>
        </w:rPr>
        <w:t>ida</w:t>
      </w:r>
      <w:r>
        <w:rPr>
          <w:rStyle w:val="CharStyle3"/>
        </w:rPr>
        <w:t xml:space="preserve"> R. </w:t>
      </w:r>
      <w:r>
        <w:rPr>
          <w:rStyle w:val="CharStyle3"/>
          <w:smallCaps/>
        </w:rPr>
        <w:t>W</w:t>
      </w:r>
      <w:r>
        <w:rPr>
          <w:rStyle w:val="CharStyle3"/>
          <w:smallCaps/>
          <w:sz w:val="15"/>
        </w:rPr>
        <w:t>einstock</w:t>
      </w:r>
      <w:r>
        <w:rPr>
          <w:rStyle w:val="CharStyle3"/>
          <w:smallCaps/>
        </w:rPr>
        <w:t xml:space="preserve">, C</w:t>
      </w:r>
      <w:r>
        <w:rPr>
          <w:rStyle w:val="CharStyle3"/>
          <w:smallCaps/>
          <w:sz w:val="15"/>
        </w:rPr>
        <w:t>ong</w:t>
      </w:r>
      <w:r>
        <w:rPr>
          <w:rStyle w:val="CharStyle3"/>
          <w:smallCaps/>
        </w:rPr>
        <w:t xml:space="preserve">. R</w:t>
      </w:r>
      <w:r>
        <w:rPr>
          <w:rStyle w:val="CharStyle3"/>
          <w:smallCaps/>
          <w:sz w:val="15"/>
        </w:rPr>
        <w:t>sch</w:t>
      </w:r>
      <w:r>
        <w:rPr>
          <w:rStyle w:val="CharStyle3"/>
          <w:smallCaps/>
        </w:rPr>
        <w:t xml:space="preserve">. S</w:t>
      </w:r>
      <w:r>
        <w:rPr>
          <w:rStyle w:val="CharStyle3"/>
          <w:smallCaps/>
          <w:sz w:val="15"/>
        </w:rPr>
        <w:t>erv</w:t>
      </w:r>
      <w:r>
        <w:rPr>
          <w:rStyle w:val="CharStyle3"/>
          <w:smallCaps/>
        </w:rPr>
        <w:t xml:space="preserve">., </w:t>
      </w:r>
      <w:r>
        <w:rPr>
          <w:rStyle w:val="CharStyle3"/>
          <w:smallCaps/>
          <w:sz w:val="15"/>
        </w:rPr>
        <w:t>r</w:t>
      </w:r>
      <w:r>
        <w:rPr>
          <w:rStyle w:val="CharStyle3"/>
          <w:smallCaps/>
        </w:rPr>
        <w:t>47115,</w:t>
      </w:r>
      <w:r>
        <w:rPr>
          <w:rStyle w:val="CharStyle3"/>
        </w:rPr>
        <w:t xml:space="preserve"> U.S. </w:t>
      </w:r>
      <w:r>
        <w:rPr>
          <w:rStyle w:val="CharStyle3"/>
          <w:smallCaps/>
        </w:rPr>
        <w:t>E</w:t>
      </w:r>
      <w:r>
        <w:rPr>
          <w:rStyle w:val="CharStyle3"/>
          <w:smallCaps/>
          <w:sz w:val="15"/>
        </w:rPr>
        <w:t xml:space="preserve">conomic </w:t>
      </w:r>
      <w:r>
        <w:rPr>
          <w:rStyle w:val="CharStyle3"/>
          <w:smallCaps/>
        </w:rPr>
        <w:t>R</w:t>
      </w:r>
      <w:r>
        <w:rPr>
          <w:rStyle w:val="CharStyle3"/>
          <w:smallCaps/>
          <w:sz w:val="15"/>
        </w:rPr>
        <w:t xml:space="preserve">ecovery in the </w:t>
      </w:r>
      <w:r>
        <w:rPr>
          <w:rStyle w:val="CharStyle3"/>
          <w:smallCaps/>
        </w:rPr>
        <w:t>W</w:t>
      </w:r>
      <w:r>
        <w:rPr>
          <w:rStyle w:val="CharStyle3"/>
          <w:smallCaps/>
          <w:sz w:val="15"/>
        </w:rPr>
        <w:t xml:space="preserve">ake of</w:t>
      </w:r>
      <w:r>
        <w:rPr>
          <w:rStyle w:val="CharStyle3"/>
        </w:rPr>
        <w:t xml:space="preserve"> COVID-19: </w:t>
      </w:r>
      <w:r>
        <w:rPr>
          <w:rStyle w:val="CharStyle3"/>
          <w:smallCaps/>
        </w:rPr>
        <w:t>S</w:t>
      </w:r>
      <w:r>
        <w:rPr>
          <w:rStyle w:val="CharStyle3"/>
          <w:smallCaps/>
          <w:sz w:val="15"/>
        </w:rPr>
        <w:t xml:space="preserve">uccesses and </w:t>
      </w:r>
      <w:r>
        <w:rPr>
          <w:rStyle w:val="CharStyle3"/>
          <w:smallCaps/>
        </w:rPr>
        <w:t>C</w:t>
      </w:r>
      <w:r>
        <w:rPr>
          <w:rStyle w:val="CharStyle3"/>
          <w:smallCaps/>
          <w:sz w:val="15"/>
        </w:rPr>
        <w:t>hallenges</w:t>
      </w:r>
      <w:r>
        <w:rPr>
          <w:rStyle w:val="CharStyle3"/>
          <w:smallCaps/>
        </w:rPr>
        <w:t xml:space="preserve">, </w:t>
      </w:r>
      <w:r>
        <w:rPr>
          <w:rStyle w:val="CharStyle3"/>
          <w:smallCaps/>
          <w:sz w:val="15"/>
        </w:rPr>
        <w:t>aux</w:t>
      </w:r>
      <w:r>
        <w:rPr>
          <w:rStyle w:val="CharStyle3"/>
        </w:rPr>
        <w:t xml:space="preserve"> pp. 2 et 3 (2022).</w:t>
      </w:r>
    </w:p>
  </w:footnote>
  <w:footnote w:id="18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Eric Milstein &amp; David Wessel, What did the Fed do in response to the COVID-19 crisis?, T</w:t>
      </w:r>
      <w:r>
        <w:rPr>
          <w:rStyle w:val="CharStyle3"/>
          <w:sz w:val="16"/>
        </w:rPr>
        <w:t xml:space="preserve">HE </w:t>
      </w:r>
      <w:r>
        <w:rPr>
          <w:rStyle w:val="CharStyle3"/>
        </w:rPr>
        <w:t>B</w:t>
      </w:r>
      <w:r>
        <w:rPr>
          <w:rStyle w:val="CharStyle3"/>
          <w:sz w:val="16"/>
        </w:rPr>
        <w:t xml:space="preserve">OOKINGS </w:t>
      </w:r>
      <w:r>
        <w:rPr>
          <w:rStyle w:val="CharStyle3"/>
          <w:smallCaps/>
        </w:rPr>
        <w:t>I</w:t>
      </w:r>
      <w:r>
        <w:rPr>
          <w:rStyle w:val="CharStyle3"/>
          <w:smallCaps/>
          <w:sz w:val="15"/>
        </w:rPr>
        <w:t>nst</w:t>
      </w:r>
      <w:r>
        <w:rPr>
          <w:rStyle w:val="CharStyle3"/>
          <w:smallCaps/>
        </w:rPr>
        <w:t>.</w:t>
      </w:r>
      <w:r>
        <w:rPr>
          <w:rStyle w:val="CharStyle3"/>
        </w:rPr>
        <w:t xml:space="preserve"> (2 janvier 2024) (évaluation des actions agressives et sans précédent de la Fed qui ont atténué les dommages économiques causés par la pandémie); voir également Celso J. Costa Junior et al., Macroeconomic policies and the pandemic-driven recession, </w:t>
      </w:r>
      <w:r>
        <w:rPr>
          <w:rStyle w:val="CharStyle3"/>
          <w:smallCaps/>
        </w:rPr>
        <w:t>I</w:t>
      </w:r>
      <w:r>
        <w:rPr>
          <w:rStyle w:val="CharStyle3"/>
          <w:smallCaps/>
          <w:sz w:val="15"/>
        </w:rPr>
        <w:t>nt</w:t>
      </w:r>
      <w:r>
        <w:rPr>
          <w:rStyle w:val="CharStyle3"/>
          <w:smallCaps/>
        </w:rPr>
        <w:t>’</w:t>
      </w:r>
      <w:r>
        <w:rPr>
          <w:rStyle w:val="CharStyle3"/>
          <w:smallCaps/>
          <w:sz w:val="15"/>
        </w:rPr>
        <w:t xml:space="preserve">l </w:t>
      </w:r>
      <w:r>
        <w:rPr>
          <w:rStyle w:val="CharStyle3"/>
          <w:smallCaps/>
        </w:rPr>
        <w:t>R</w:t>
      </w:r>
      <w:r>
        <w:rPr>
          <w:rStyle w:val="CharStyle3"/>
          <w:smallCaps/>
          <w:sz w:val="15"/>
        </w:rPr>
        <w:t>ev</w:t>
      </w:r>
      <w:r>
        <w:rPr>
          <w:rStyle w:val="CharStyle3"/>
          <w:smallCaps/>
        </w:rPr>
        <w:t xml:space="preserve">. </w:t>
      </w:r>
      <w:r>
        <w:rPr>
          <w:rStyle w:val="CharStyle3"/>
          <w:smallCaps/>
          <w:sz w:val="15"/>
        </w:rPr>
        <w:t xml:space="preserve">of </w:t>
      </w:r>
      <w:r>
        <w:rPr>
          <w:rStyle w:val="CharStyle3"/>
          <w:smallCaps/>
        </w:rPr>
        <w:t>E</w:t>
      </w:r>
      <w:r>
        <w:rPr>
          <w:rStyle w:val="CharStyle3"/>
          <w:smallCaps/>
          <w:sz w:val="15"/>
        </w:rPr>
        <w:t>con</w:t>
      </w:r>
      <w:r>
        <w:rPr>
          <w:rStyle w:val="CharStyle3"/>
          <w:smallCaps/>
        </w:rPr>
        <w:t>.</w:t>
      </w:r>
      <w:r>
        <w:rPr>
          <w:rStyle w:val="CharStyle3"/>
        </w:rPr>
        <w:t xml:space="preserve"> &amp; </w:t>
      </w:r>
      <w:r>
        <w:rPr>
          <w:rStyle w:val="CharStyle3"/>
          <w:smallCaps/>
        </w:rPr>
        <w:t>F</w:t>
      </w:r>
      <w:r>
        <w:rPr>
          <w:rStyle w:val="CharStyle3"/>
          <w:smallCaps/>
          <w:sz w:val="15"/>
        </w:rPr>
        <w:t>dans</w:t>
      </w:r>
      <w:r>
        <w:rPr>
          <w:rStyle w:val="CharStyle3"/>
          <w:smallCaps/>
        </w:rPr>
        <w:t>.</w:t>
      </w:r>
      <w:r>
        <w:rPr>
          <w:rStyle w:val="CharStyle3"/>
        </w:rPr>
        <w:t xml:space="preserve"> (mars 2021) (décrivant le rôle considérable que joue l’assouplissement quantitatif dans l’atténuation d’une récession provoquée par la pandémie).</w:t>
      </w:r>
    </w:p>
  </w:footnote>
  <w:footnote w:id="18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Olivier J. Blanchard &amp; Ben S. Bernanke, What Cause The U.S. Pandemic-Era Inflation?, </w:t>
      </w:r>
      <w:r>
        <w:rPr>
          <w:rStyle w:val="CharStyle3"/>
          <w:smallCaps/>
        </w:rPr>
        <w:t>N</w:t>
      </w:r>
      <w:r>
        <w:rPr>
          <w:rStyle w:val="CharStyle3"/>
          <w:smallCaps/>
          <w:sz w:val="15"/>
        </w:rPr>
        <w:t>at</w:t>
      </w:r>
      <w:r>
        <w:rPr>
          <w:rStyle w:val="CharStyle3"/>
          <w:smallCaps/>
        </w:rPr>
        <w:t>’</w:t>
      </w:r>
      <w:r>
        <w:rPr>
          <w:rStyle w:val="CharStyle3"/>
          <w:smallCaps/>
          <w:sz w:val="15"/>
        </w:rPr>
        <w:t xml:space="preserve">l </w:t>
      </w:r>
      <w:r>
        <w:rPr>
          <w:rStyle w:val="CharStyle3"/>
          <w:smallCaps/>
        </w:rPr>
        <w:t>B</w:t>
      </w:r>
      <w:r>
        <w:rPr>
          <w:rStyle w:val="CharStyle3"/>
          <w:smallCaps/>
          <w:sz w:val="15"/>
        </w:rPr>
        <w:t xml:space="preserve">ureau of </w:t>
      </w:r>
      <w:r>
        <w:rPr>
          <w:rStyle w:val="CharStyle3"/>
          <w:smallCaps/>
        </w:rPr>
        <w:t>E</w:t>
      </w:r>
      <w:r>
        <w:rPr>
          <w:rStyle w:val="CharStyle3"/>
          <w:smallCaps/>
          <w:sz w:val="15"/>
        </w:rPr>
        <w:t>con</w:t>
      </w:r>
      <w:r>
        <w:rPr>
          <w:rStyle w:val="CharStyle3"/>
          <w:smallCaps/>
        </w:rPr>
        <w:t xml:space="preserve">. R</w:t>
      </w:r>
      <w:r>
        <w:rPr>
          <w:rStyle w:val="CharStyle3"/>
          <w:smallCaps/>
          <w:sz w:val="15"/>
        </w:rPr>
        <w:t>sch</w:t>
      </w:r>
      <w:r>
        <w:rPr>
          <w:rStyle w:val="CharStyle3"/>
          <w:smallCaps/>
        </w:rPr>
        <w:t xml:space="preserve">. W</w:t>
      </w:r>
      <w:r>
        <w:rPr>
          <w:rStyle w:val="CharStyle3"/>
          <w:smallCaps/>
          <w:sz w:val="15"/>
        </w:rPr>
        <w:t xml:space="preserve">orking </w:t>
      </w:r>
      <w:r>
        <w:rPr>
          <w:rStyle w:val="CharStyle3"/>
          <w:smallCaps/>
        </w:rPr>
        <w:t>P</w:t>
      </w:r>
      <w:r>
        <w:rPr>
          <w:rStyle w:val="CharStyle3"/>
          <w:smallCaps/>
          <w:sz w:val="15"/>
        </w:rPr>
        <w:t xml:space="preserve">aper </w:t>
      </w:r>
      <w:r>
        <w:rPr>
          <w:rStyle w:val="CharStyle3"/>
          <w:smallCaps/>
        </w:rPr>
        <w:t>S</w:t>
      </w:r>
      <w:r>
        <w:rPr>
          <w:rStyle w:val="CharStyle3"/>
          <w:smallCaps/>
          <w:sz w:val="15"/>
        </w:rPr>
        <w:t>eries,</w:t>
      </w:r>
      <w:r>
        <w:rPr>
          <w:rStyle w:val="CharStyle3"/>
          <w:smallCaps/>
        </w:rPr>
        <w:t xml:space="preserve"> </w:t>
      </w:r>
      <w:r>
        <w:rPr>
          <w:rStyle w:val="CharStyle3"/>
        </w:rPr>
        <w:t xml:space="preserve"> no 31417, 22 juin 2023.</w:t>
      </w:r>
    </w:p>
  </w:footnote>
  <w:footnote w:id="184">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85">
    <w:p>
      <w:pPr>
        <w:pStyle w:val="Style2"/>
        <w:keepNext w:val="0"/>
        <w:keepLines w:val="0"/>
        <w:widowControl w:val="0"/>
        <w:shd w:val="clear" w:color="auto" w:fill="auto"/>
        <w:spacing w:before="0" w:after="0" w:line="240" w:lineRule="auto"/>
        <w:ind w:left="0" w:right="0" w:firstLine="0"/>
        <w:jc w:val="left"/>
      </w:pPr>
      <w:r>
        <w:rPr>
          <w:rStyle w:val="CharStyle3"/>
        </w:rPr>
        <w:footnoteRef/>
        <w:t>Id.</w:t>
      </w:r>
    </w:p>
    <w:p>
      <w:pPr>
        <w:pStyle w:val="Style2"/>
        <w:keepNext w:val="0"/>
        <w:keepLines w:val="0"/>
        <w:widowControl w:val="0"/>
        <w:shd w:val="clear" w:color="auto" w:fill="auto"/>
        <w:spacing w:before="0" w:after="0" w:line="264" w:lineRule="auto"/>
        <w:ind w:left="1460" w:right="0" w:hanging="1460"/>
        <w:jc w:val="left"/>
        <w:rPr>
          <w:sz w:val="22"/>
        </w:rPr>
      </w:pPr>
      <w:r>
        <w:rPr>
          <w:rStyle w:val="CharStyle3"/>
          <w:sz w:val="22"/>
        </w:rPr>
        <w:t xml:space="preserve">CONSTATATION : Après des mesures immédiates pour stabiliser l'économie et les marchés financiers, la Réserve fédérale aurait dû mettre davantage l'accent sur le suivi et la gestion des risques à long terme associés à des taux d'intérêt bas et prolongés.</w:t>
      </w:r>
    </w:p>
    <w:p>
      <w:pPr>
        <w:pStyle w:val="Style2"/>
        <w:keepNext w:val="0"/>
        <w:keepLines w:val="0"/>
        <w:widowControl w:val="0"/>
        <w:shd w:val="clear" w:color="auto" w:fill="auto"/>
        <w:spacing w:before="0" w:after="260" w:line="262" w:lineRule="auto"/>
        <w:ind w:left="0" w:right="0" w:firstLine="740"/>
        <w:jc w:val="left"/>
        <w:rPr>
          <w:sz w:val="22"/>
        </w:rPr>
      </w:pPr>
      <w:r>
        <w:rPr>
          <w:rStyle w:val="CharStyle3"/>
          <w:sz w:val="22"/>
        </w:rPr>
        <w:t xml:space="preserve">La Réserve fédérale a pris des mesures sans précédent pour stabiliser l'économie, dont beaucoup allaient au-delà de ses rôles et responsabilités traditionnels. Les actions de la Réserve fédérale pour fournir des liquidités de marché et agir en tant que «prêteur de dernier recours» ont été cruciales pour prévenir un effondrement économique plus large, mais ce faisant, elle a également assumé certains rôles traditionnellement associés au Département du Trésor.</w:t>
      </w:r>
    </w:p>
    <w:p>
      <w:pPr>
        <w:pStyle w:val="Style2"/>
        <w:keepNext w:val="0"/>
        <w:keepLines w:val="0"/>
        <w:widowControl w:val="0"/>
        <w:shd w:val="clear" w:color="auto" w:fill="auto"/>
        <w:spacing w:before="0" w:after="0" w:line="264" w:lineRule="auto"/>
        <w:ind w:left="0" w:right="0" w:firstLine="740"/>
        <w:jc w:val="left"/>
        <w:rPr>
          <w:sz w:val="22"/>
        </w:rPr>
      </w:pPr>
      <w:r>
        <w:rPr>
          <w:rStyle w:val="CharStyle3"/>
          <w:sz w:val="22"/>
        </w:rPr>
        <w:t xml:space="preserve">Comme expliqué ci-dessus, le rôle traditionnel de la Réserve fédérale est d'utiliser la politique monétaire pour influencer l'économie. L'objectif est de gérer la masse monétaire, de contrôler l'inflation et de stabiliser l'économie en ajustant les taux d'intérêt, en affectant les emprunts et les prêts et en régulant les réserves bancaires. D'autre part, le Département du Trésor gère la politique budgétaire. Financière</w:t>
      </w:r>
    </w:p>
  </w:footnote>
  <w:footnote w:id="18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Nicolas Cachanosky, et al., The Federal Reserve’s response to the COVID-19 contraction: Une évaluation initiale, à 1171, </w:t>
      </w:r>
      <w:r>
        <w:rPr>
          <w:rStyle w:val="CharStyle3"/>
          <w:smallCaps/>
        </w:rPr>
        <w:t>S</w:t>
      </w:r>
      <w:r>
        <w:rPr>
          <w:rStyle w:val="CharStyle3"/>
          <w:smallCaps/>
          <w:sz w:val="15"/>
        </w:rPr>
        <w:t xml:space="preserve">outhern </w:t>
      </w:r>
      <w:r>
        <w:rPr>
          <w:rStyle w:val="CharStyle3"/>
          <w:smallCaps/>
        </w:rPr>
        <w:t>E</w:t>
      </w:r>
      <w:r>
        <w:rPr>
          <w:rStyle w:val="CharStyle3"/>
          <w:smallCaps/>
          <w:sz w:val="15"/>
        </w:rPr>
        <w:t xml:space="preserve">conomic </w:t>
      </w:r>
      <w:r>
        <w:rPr>
          <w:rStyle w:val="CharStyle3"/>
          <w:smallCaps/>
        </w:rPr>
        <w:t>J</w:t>
      </w:r>
      <w:r>
        <w:rPr>
          <w:rStyle w:val="CharStyle3"/>
          <w:smallCaps/>
          <w:sz w:val="15"/>
        </w:rPr>
        <w:t>ournal</w:t>
      </w:r>
      <w:r>
        <w:rPr>
          <w:rStyle w:val="CharStyle3"/>
        </w:rPr>
        <w:t xml:space="preserve"> (avril 2021).</w:t>
      </w:r>
    </w:p>
  </w:footnote>
  <w:footnote w:id="18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88">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18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Jean-Pierre Zigrand, et al., Moral hazard, the fear of the markets, and how central banks response to COVID-19, C</w:t>
      </w:r>
      <w:r>
        <w:rPr>
          <w:rStyle w:val="CharStyle3"/>
          <w:sz w:val="16"/>
        </w:rPr>
        <w:t>TR</w:t>
      </w:r>
      <w:r>
        <w:rPr>
          <w:rStyle w:val="CharStyle3"/>
        </w:rPr>
        <w:t xml:space="preserve">. F</w:t>
      </w:r>
      <w:r>
        <w:rPr>
          <w:rStyle w:val="CharStyle3"/>
          <w:sz w:val="16"/>
        </w:rPr>
        <w:t xml:space="preserve">ou </w:t>
      </w:r>
      <w:r>
        <w:rPr>
          <w:rStyle w:val="CharStyle3"/>
        </w:rPr>
        <w:t>E</w:t>
      </w:r>
      <w:r>
        <w:rPr>
          <w:rStyle w:val="CharStyle3"/>
          <w:sz w:val="16"/>
        </w:rPr>
        <w:t>CON</w:t>
      </w:r>
      <w:r>
        <w:rPr>
          <w:rStyle w:val="CharStyle3"/>
        </w:rPr>
        <w:t xml:space="preserve">. P</w:t>
      </w:r>
      <w:r>
        <w:rPr>
          <w:rStyle w:val="CharStyle3"/>
          <w:sz w:val="16"/>
        </w:rPr>
        <w:t>OL</w:t>
      </w:r>
      <w:r>
        <w:rPr>
          <w:rStyle w:val="CharStyle3"/>
        </w:rPr>
        <w:t>’</w:t>
      </w:r>
      <w:r>
        <w:rPr>
          <w:rStyle w:val="CharStyle3"/>
          <w:sz w:val="16"/>
        </w:rPr>
        <w:t xml:space="preserve">Y </w:t>
      </w:r>
      <w:r>
        <w:rPr>
          <w:rStyle w:val="CharStyle3"/>
        </w:rPr>
        <w:t>R</w:t>
      </w:r>
      <w:r>
        <w:rPr>
          <w:rStyle w:val="CharStyle3"/>
          <w:sz w:val="16"/>
        </w:rPr>
        <w:t>SCH</w:t>
      </w:r>
      <w:r>
        <w:rPr>
          <w:rStyle w:val="CharStyle3"/>
        </w:rPr>
        <w:t xml:space="preserve">. (28 janvier 2021).</w:t>
      </w:r>
    </w:p>
  </w:footnote>
  <w:footnote w:id="19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Nicolas Cachanosky, et al., The Federal Reserve’s response to the COVID-19 contraction: Une première évaluation, aux pp. </w:t>
      </w:r>
      <w:r>
        <w:rPr>
          <w:rStyle w:val="CharStyle3"/>
          <w:smallCaps/>
        </w:rPr>
        <w:t xml:space="preserve">1172-1173, S</w:t>
      </w:r>
      <w:r>
        <w:rPr>
          <w:rStyle w:val="CharStyle3"/>
          <w:smallCaps/>
          <w:sz w:val="15"/>
        </w:rPr>
        <w:t xml:space="preserve">outh </w:t>
      </w:r>
      <w:r>
        <w:rPr>
          <w:rStyle w:val="CharStyle3"/>
          <w:smallCaps/>
        </w:rPr>
        <w:t>E</w:t>
      </w:r>
      <w:r>
        <w:rPr>
          <w:rStyle w:val="CharStyle3"/>
          <w:smallCaps/>
          <w:sz w:val="15"/>
        </w:rPr>
        <w:t>con</w:t>
      </w:r>
      <w:r>
        <w:rPr>
          <w:rStyle w:val="CharStyle3"/>
          <w:smallCaps/>
        </w:rPr>
        <w:t>.</w:t>
      </w:r>
      <w:r>
        <w:rPr>
          <w:rStyle w:val="CharStyle3"/>
        </w:rPr>
        <w:t xml:space="preserve"> J. (avril 2021).</w:t>
      </w:r>
    </w:p>
  </w:footnote>
  <w:footnote w:id="19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Erica Green, Administration Offers Guidance to Schools as They Shut Down on Their Own,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smallCaps/>
        </w:rPr>
        <w:t xml:space="preserve"> (13 </w:t>
      </w:r>
      <w:r>
        <w:rPr>
          <w:rStyle w:val="CharStyle3"/>
        </w:rPr>
        <w:t xml:space="preserve">mars 2020).</w:t>
      </w:r>
    </w:p>
  </w:footnote>
  <w:footnote w:id="192">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AFT Says National Schools Shutdown Inevitable Amid Coronavirus Pandemic (16 mars 2020).</w:t>
      </w:r>
    </w:p>
  </w:footnote>
  <w:footnote w:id="19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Laura Meckler &amp; Lena Sun, les États se précipitent pour fermer les écoles. Mais que dit la science sur les fermetures ?, </w:t>
      </w:r>
      <w:r>
        <w:rPr>
          <w:rStyle w:val="CharStyle3"/>
          <w:smallCaps/>
        </w:rPr>
        <w:t>T</w:t>
      </w:r>
      <w:r>
        <w:rPr>
          <w:rStyle w:val="CharStyle3"/>
          <w:smallCaps/>
          <w:sz w:val="15"/>
        </w:rPr>
        <w:t xml:space="preserve">he </w:t>
      </w:r>
      <w:r>
        <w:rPr>
          <w:rStyle w:val="CharStyle3"/>
          <w:smallCaps/>
        </w:rPr>
        <w:t>W</w:t>
      </w:r>
      <w:r>
        <w:rPr>
          <w:rStyle w:val="CharStyle3"/>
          <w:smallCaps/>
          <w:sz w:val="15"/>
        </w:rPr>
        <w:t>ash</w:t>
      </w:r>
      <w:r>
        <w:rPr>
          <w:rStyle w:val="CharStyle3"/>
          <w:smallCaps/>
        </w:rPr>
        <w:t xml:space="preserve">. P</w:t>
      </w:r>
      <w:r>
        <w:rPr>
          <w:rStyle w:val="CharStyle3"/>
          <w:smallCaps/>
          <w:sz w:val="15"/>
        </w:rPr>
        <w:t>ost</w:t>
      </w:r>
      <w:r>
        <w:rPr>
          <w:rStyle w:val="CharStyle3"/>
          <w:smallCaps/>
        </w:rPr>
        <w:t>(16</w:t>
      </w:r>
      <w:r>
        <w:rPr>
          <w:rStyle w:val="CharStyle3"/>
        </w:rPr>
        <w:t xml:space="preserve"> mars 2020); Voir également Howard Markel, Coronavirus School Closings: Don’t Wait Until It’s Too Late, T</w:t>
      </w:r>
      <w:r>
        <w:rPr>
          <w:rStyle w:val="CharStyle3"/>
          <w:sz w:val="16"/>
        </w:rPr>
        <w:t xml:space="preserve">HE </w:t>
      </w:r>
      <w:r>
        <w:rPr>
          <w:rStyle w:val="CharStyle3"/>
        </w:rPr>
        <w:t xml:space="preserve">N.Y. T</w:t>
      </w:r>
      <w:r>
        <w:rPr>
          <w:rStyle w:val="CharStyle3"/>
          <w:sz w:val="16"/>
        </w:rPr>
        <w:t xml:space="preserve">IMES </w:t>
      </w:r>
      <w:r>
        <w:rPr>
          <w:rStyle w:val="CharStyle3"/>
        </w:rPr>
        <w:t xml:space="preserve">(6 mars 2020).</w:t>
      </w:r>
    </w:p>
  </w:footnote>
  <w:footnote w:id="19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 Considérations relatives à la fermeture des écoles, U.S. C</w:t>
      </w:r>
      <w:r>
        <w:rPr>
          <w:rStyle w:val="CharStyle3"/>
          <w:sz w:val="16"/>
        </w:rPr>
        <w:t>TRS</w:t>
      </w:r>
      <w:r>
        <w:rPr>
          <w:rStyle w:val="CharStyle3"/>
        </w:rPr>
        <w:t xml:space="preserve">. </w:t>
      </w:r>
      <w:r>
        <w:rPr>
          <w:rStyle w:val="CharStyle3"/>
          <w:sz w:val="16"/>
        </w:rPr>
        <w:t xml:space="preserve">POUR D </w:t>
      </w:r>
      <w:r>
        <w:rPr>
          <w:rStyle w:val="CharStyle3"/>
          <w:sz w:val="16"/>
        </w:rPr>
        <w:t xml:space="preserve">ISEASE </w:t>
      </w:r>
      <w:r>
        <w:rPr>
          <w:rStyle w:val="CharStyle3"/>
        </w:rPr>
        <w:t>C</w:t>
      </w:r>
      <w:r>
        <w:rPr>
          <w:rStyle w:val="CharStyle3"/>
          <w:sz w:val="16"/>
        </w:rPr>
        <w:t xml:space="preserve">ONTROL </w:t>
      </w:r>
      <w:r>
        <w:rPr>
          <w:rStyle w:val="CharStyle3"/>
        </w:rPr>
        <w:t xml:space="preserve">&amp; P</w:t>
      </w:r>
      <w:r>
        <w:rPr>
          <w:rStyle w:val="CharStyle3"/>
          <w:sz w:val="16"/>
        </w:rPr>
        <w:t>REVENTION</w:t>
      </w:r>
      <w:r>
        <w:rPr>
          <w:rStyle w:val="CharStyle3"/>
        </w:rPr>
        <w:t xml:space="preserve">, disponible à l’adresse </w:t>
      </w:r>
      <w:r>
        <w:fldChar w:fldCharType="begin"/>
      </w:r>
      <w:r>
        <w:rPr/>
        <w:instrText> HYPERLINK "https://web.archive.org/web/20200313224825/https://www.cdc.gov/coronavirus/2019-" </w:instrText>
      </w:r>
      <w:r>
        <w:fldChar w:fldCharType="separate"/>
      </w:r>
      <w:r>
        <w:rPr>
          <w:rStyle w:val="CharStyle3"/>
        </w:rPr>
        <w:t xml:space="preserve">suivante: https://web.archive.org/web/20200313224825/https://www.cdc.gov/coronavirus/2019-</w:t>
      </w:r>
      <w:r>
        <w:fldChar w:fldCharType="end"/>
      </w:r>
    </w:p>
    <w:p>
      <w:pPr>
        <w:pStyle w:val="Style2"/>
        <w:keepNext w:val="0"/>
        <w:keepLines w:val="0"/>
        <w:widowControl w:val="0"/>
        <w:shd w:val="clear" w:color="auto" w:fill="auto"/>
        <w:spacing w:before="0" w:after="0" w:line="240" w:lineRule="auto"/>
        <w:ind w:left="0" w:right="0" w:firstLine="0"/>
        <w:jc w:val="left"/>
      </w:pPr>
      <w:r>
        <w:rPr>
          <w:rStyle w:val="CharStyle3"/>
        </w:rPr>
        <w:t xml:space="preserve">ncov/downloads/considérations-for-school-closure.pdf; Voir aussi Laura Meckler &amp; Lena Sun, States are rushing to close schools. Mais que dit la science sur les fermetures?, T</w:t>
      </w:r>
      <w:r>
        <w:rPr>
          <w:rStyle w:val="CharStyle3"/>
          <w:sz w:val="16"/>
        </w:rPr>
        <w:t xml:space="preserve">HE </w:t>
      </w:r>
      <w:r>
        <w:rPr>
          <w:rStyle w:val="CharStyle3"/>
        </w:rPr>
        <w:t>W</w:t>
      </w:r>
      <w:r>
        <w:rPr>
          <w:rStyle w:val="CharStyle3"/>
          <w:sz w:val="16"/>
        </w:rPr>
        <w:t>ASH</w:t>
      </w:r>
      <w:r>
        <w:rPr>
          <w:rStyle w:val="CharStyle3"/>
        </w:rPr>
        <w:t xml:space="preserve">. P</w:t>
      </w:r>
      <w:r>
        <w:rPr>
          <w:rStyle w:val="CharStyle3"/>
          <w:sz w:val="16"/>
        </w:rPr>
        <w:t xml:space="preserve">OST </w:t>
      </w:r>
      <w:r>
        <w:rPr>
          <w:rStyle w:val="CharStyle3"/>
        </w:rPr>
        <w:t xml:space="preserve">(16 mars 2020).</w:t>
      </w:r>
    </w:p>
  </w:footnote>
  <w:footnote w:id="19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Will Weissert, Biden promet de rouvrir la plupart des écoles après 1</w:t>
      </w:r>
      <w:r>
        <w:rPr>
          <w:rStyle w:val="CharStyle3"/>
          <w:vertAlign w:val="superscript"/>
        </w:rPr>
        <w:t>st</w:t>
      </w:r>
      <w:r>
        <w:rPr>
          <w:rStyle w:val="CharStyle3"/>
        </w:rPr>
        <w:t xml:space="preserve"> 100 jours de travail, A</w:t>
      </w:r>
      <w:r>
        <w:rPr>
          <w:rStyle w:val="CharStyle3"/>
          <w:sz w:val="16"/>
        </w:rPr>
        <w:t>SSO</w:t>
      </w:r>
      <w:r>
        <w:rPr>
          <w:rStyle w:val="CharStyle3"/>
        </w:rPr>
        <w:t xml:space="preserve">. P</w:t>
      </w:r>
      <w:r>
        <w:rPr>
          <w:rStyle w:val="CharStyle3"/>
          <w:sz w:val="16"/>
        </w:rPr>
        <w:t xml:space="preserve">RESS </w:t>
      </w:r>
      <w:r>
        <w:rPr>
          <w:rStyle w:val="CharStyle3"/>
        </w:rPr>
        <w:t xml:space="preserve">(8 décembre 2020); Mais voir, Erica Green, Biden Trims Ambitions on School Reopening Pledge,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rPr>
        <w:t xml:space="preserve"> (11 février 2021) (en écrivant que l’administration Biden a réduit la promesse du président Biden de s’appliquer aux écoles K-8 et a défini la réouverture pour inclure les écoles qui dispensaient un enseignement en personne au moins un jour par semaine).</w:t>
      </w:r>
    </w:p>
  </w:footnote>
  <w:footnote w:id="196">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AFT’s Weingarten on President Biden’s Plan to Reopen Schools in First 100 Days (8 décembre 2020) (soulignement ajouté).</w:t>
      </w:r>
    </w:p>
  </w:footnote>
  <w:footnote w:id="197">
    <w:p>
      <w:pPr>
        <w:pStyle w:val="Style2"/>
        <w:keepNext w:val="0"/>
        <w:keepLines w:val="0"/>
        <w:widowControl w:val="0"/>
        <w:shd w:val="clear" w:color="auto" w:fill="auto"/>
        <w:spacing w:before="0" w:after="0" w:line="240" w:lineRule="auto"/>
        <w:ind w:left="0" w:right="0" w:firstLine="0"/>
        <w:jc w:val="left"/>
      </w:pPr>
      <w:r>
        <w:rPr>
          <w:rStyle w:val="CharStyle3"/>
        </w:rPr>
        <w:t>Département</w:t>
        <w:footnoteRef/>
        <w:t xml:space="preserve"> américain de l’éducation, communiqué de presse, déclaration du secrétaire américain à l’éducation, Miguel Cardona, sur les résultats de l’enquête NAEP de mars 2021 sur la réouverture des écoles (6 mai 2021).</w:t>
      </w:r>
    </w:p>
  </w:footnote>
  <w:footnote w:id="19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Morgan Phillips, Biden promet d’ouvrir la moitié des écoles dans 100 jours: Voici comment ça se passe, </w:t>
      </w:r>
      <w:r>
        <w:rPr>
          <w:rStyle w:val="CharStyle3"/>
          <w:smallCaps/>
        </w:rPr>
        <w:t>F</w:t>
      </w:r>
      <w:r>
        <w:rPr>
          <w:rStyle w:val="CharStyle3"/>
          <w:smallCaps/>
          <w:sz w:val="15"/>
        </w:rPr>
        <w:t>ox</w:t>
      </w:r>
      <w:r>
        <w:rPr>
          <w:rStyle w:val="CharStyle3"/>
          <w:smallCaps/>
        </w:rPr>
        <w:t>N</w:t>
      </w:r>
      <w:r>
        <w:rPr>
          <w:rStyle w:val="CharStyle3"/>
          <w:smallCaps/>
          <w:sz w:val="15"/>
        </w:rPr>
        <w:t>ews</w:t>
      </w:r>
      <w:r>
        <w:rPr>
          <w:rStyle w:val="CharStyle3"/>
        </w:rPr>
        <w:t xml:space="preserve"> (fév.</w:t>
      </w:r>
    </w:p>
    <w:p>
      <w:pPr>
        <w:pStyle w:val="Style2"/>
        <w:keepNext w:val="0"/>
        <w:keepLines w:val="0"/>
        <w:widowControl w:val="0"/>
        <w:shd w:val="clear" w:color="auto" w:fill="auto"/>
        <w:spacing w:before="0" w:after="0" w:line="240" w:lineRule="auto"/>
        <w:ind w:left="0" w:right="0" w:firstLine="0"/>
        <w:jc w:val="left"/>
      </w:pPr>
      <w:r>
        <w:rPr>
          <w:rStyle w:val="CharStyle3"/>
        </w:rPr>
        <w:t xml:space="preserve">19, 2021); Ebony Bowden, Biden plan ne rouvrirait que la moitié des écoles «un jour par semaine» d’ici la fin du mois d’avril, N.Y. </w:t>
      </w:r>
      <w:r>
        <w:rPr>
          <w:rStyle w:val="CharStyle3"/>
          <w:smallCaps/>
        </w:rPr>
        <w:t>P</w:t>
      </w:r>
      <w:r>
        <w:rPr>
          <w:rStyle w:val="CharStyle3"/>
          <w:smallCaps/>
          <w:sz w:val="15"/>
        </w:rPr>
        <w:t>ost</w:t>
      </w:r>
      <w:r>
        <w:rPr>
          <w:rStyle w:val="CharStyle3"/>
        </w:rPr>
        <w:t xml:space="preserve"> (9 février 2021).</w:t>
      </w:r>
    </w:p>
  </w:footnote>
  <w:footnote w:id="199">
    <w:p>
      <w:pPr>
        <w:pStyle w:val="Style2"/>
        <w:keepNext w:val="0"/>
        <w:keepLines w:val="0"/>
        <w:widowControl w:val="0"/>
        <w:shd w:val="clear" w:color="auto" w:fill="auto"/>
        <w:spacing w:before="0" w:after="0" w:line="240" w:lineRule="auto"/>
        <w:ind w:left="0" w:right="0" w:firstLine="0"/>
        <w:jc w:val="left"/>
      </w:pPr>
      <w:r>
        <w:rPr>
          <w:rStyle w:val="CharStyle3"/>
        </w:rPr>
        <w:footnoteRef/>
      </w:r>
      <w:r>
        <w:rPr>
          <w:rStyle w:val="CharStyle3"/>
          <w:smallCaps/>
        </w:rPr>
        <w:t>O</w:t>
      </w:r>
      <w:r>
        <w:rPr>
          <w:rStyle w:val="CharStyle3"/>
          <w:smallCaps/>
          <w:sz w:val="15"/>
        </w:rPr>
        <w:t xml:space="preserve">perational </w:t>
      </w:r>
      <w:r>
        <w:rPr>
          <w:rStyle w:val="CharStyle3"/>
          <w:smallCaps/>
        </w:rPr>
        <w:t>G</w:t>
      </w:r>
      <w:r>
        <w:rPr>
          <w:rStyle w:val="CharStyle3"/>
          <w:smallCaps/>
          <w:sz w:val="15"/>
        </w:rPr>
        <w:t xml:space="preserve">uidance for</w:t>
      </w:r>
      <w:r>
        <w:rPr>
          <w:rStyle w:val="CharStyle3"/>
        </w:rPr>
        <w:t xml:space="preserve"> K-12 </w:t>
      </w:r>
      <w:r>
        <w:rPr>
          <w:rStyle w:val="CharStyle3"/>
          <w:smallCaps/>
        </w:rPr>
        <w:t>S</w:t>
      </w:r>
      <w:r>
        <w:rPr>
          <w:rStyle w:val="CharStyle3"/>
          <w:smallCaps/>
          <w:sz w:val="15"/>
        </w:rPr>
        <w:t xml:space="preserve">chools and </w:t>
      </w:r>
      <w:r>
        <w:rPr>
          <w:rStyle w:val="CharStyle3"/>
          <w:smallCaps/>
        </w:rPr>
        <w:t>E</w:t>
      </w:r>
      <w:r>
        <w:rPr>
          <w:rStyle w:val="CharStyle3"/>
          <w:smallCaps/>
          <w:sz w:val="15"/>
        </w:rPr>
        <w:t xml:space="preserve">arly </w:t>
      </w:r>
      <w:r>
        <w:rPr>
          <w:rStyle w:val="CharStyle3"/>
          <w:smallCaps/>
        </w:rPr>
        <w:t>C</w:t>
      </w:r>
      <w:r>
        <w:rPr>
          <w:rStyle w:val="CharStyle3"/>
          <w:smallCaps/>
          <w:sz w:val="15"/>
        </w:rPr>
        <w:t xml:space="preserve">are and </w:t>
      </w:r>
      <w:r>
        <w:rPr>
          <w:rStyle w:val="CharStyle3"/>
          <w:smallCaps/>
        </w:rPr>
        <w:t>E</w:t>
      </w:r>
      <w:r>
        <w:rPr>
          <w:rStyle w:val="CharStyle3"/>
          <w:smallCaps/>
          <w:sz w:val="15"/>
        </w:rPr>
        <w:t xml:space="preserve">ducation </w:t>
      </w:r>
      <w:r>
        <w:rPr>
          <w:rStyle w:val="CharStyle3"/>
          <w:smallCaps/>
        </w:rPr>
        <w:t>P</w:t>
      </w:r>
      <w:r>
        <w:rPr>
          <w:rStyle w:val="CharStyle3"/>
          <w:smallCaps/>
          <w:sz w:val="15"/>
        </w:rPr>
        <w:t xml:space="preserve">rograms to </w:t>
      </w:r>
      <w:r>
        <w:rPr>
          <w:rStyle w:val="CharStyle3"/>
          <w:smallCaps/>
        </w:rPr>
        <w:t>S</w:t>
      </w:r>
      <w:r>
        <w:rPr>
          <w:rStyle w:val="CharStyle3"/>
          <w:smallCaps/>
          <w:sz w:val="15"/>
        </w:rPr>
        <w:t xml:space="preserve">upport </w:t>
      </w:r>
      <w:r>
        <w:rPr>
          <w:rStyle w:val="CharStyle3"/>
          <w:smallCaps/>
        </w:rPr>
        <w:t>S</w:t>
      </w:r>
      <w:r>
        <w:rPr>
          <w:rStyle w:val="CharStyle3"/>
          <w:smallCaps/>
          <w:sz w:val="15"/>
        </w:rPr>
        <w:t xml:space="preserve">afe </w:t>
      </w:r>
      <w:r>
        <w:rPr>
          <w:rStyle w:val="CharStyle3"/>
          <w:smallCaps/>
        </w:rPr>
        <w:t>I</w:t>
      </w:r>
      <w:r>
        <w:rPr>
          <w:rStyle w:val="CharStyle3"/>
          <w:smallCaps/>
          <w:sz w:val="15"/>
        </w:rPr>
        <w:t>n</w:t>
      </w:r>
      <w:r>
        <w:rPr>
          <w:rStyle w:val="CharStyle3"/>
          <w:smallCaps/>
        </w:rPr>
        <w:t>-P</w:t>
      </w:r>
      <w:r>
        <w:rPr>
          <w:rStyle w:val="CharStyle3"/>
          <w:smallCaps/>
          <w:sz w:val="15"/>
        </w:rPr>
        <w:t xml:space="preserve">erson </w:t>
      </w:r>
      <w:r>
        <w:rPr>
          <w:rStyle w:val="CharStyle3"/>
          <w:smallCaps/>
        </w:rPr>
        <w:t>L</w:t>
      </w:r>
      <w:r>
        <w:rPr>
          <w:rStyle w:val="CharStyle3"/>
          <w:smallCaps/>
          <w:sz w:val="15"/>
        </w:rPr>
        <w:t>earning</w:t>
      </w:r>
      <w:r>
        <w:rPr>
          <w:rStyle w:val="CharStyle3"/>
          <w:smallCaps/>
        </w:rPr>
        <w:t xml:space="preserve">, C</w:t>
      </w:r>
      <w:r>
        <w:rPr>
          <w:rStyle w:val="CharStyle3"/>
          <w:smallCaps/>
          <w:sz w:val="15"/>
        </w:rPr>
        <w:t>trs</w:t>
      </w:r>
      <w:r>
        <w:rPr>
          <w:rStyle w:val="CharStyle3"/>
          <w:smallCaps/>
        </w:rPr>
        <w:t xml:space="preserve">. F</w:t>
      </w:r>
      <w:r>
        <w:rPr>
          <w:rStyle w:val="CharStyle3"/>
          <w:smallCaps/>
          <w:sz w:val="15"/>
        </w:rPr>
        <w:t xml:space="preserve">ou </w:t>
      </w:r>
      <w:r>
        <w:rPr>
          <w:rStyle w:val="CharStyle3"/>
          <w:smallCaps/>
        </w:rPr>
        <w:t>D</w:t>
      </w:r>
      <w:r>
        <w:rPr>
          <w:rStyle w:val="CharStyle3"/>
          <w:smallCaps/>
          <w:sz w:val="15"/>
        </w:rPr>
        <w:t xml:space="preserve">isease </w:t>
      </w:r>
      <w:r>
        <w:rPr>
          <w:rStyle w:val="CharStyle3"/>
          <w:smallCaps/>
        </w:rPr>
        <w:t>C</w:t>
      </w:r>
      <w:r>
        <w:rPr>
          <w:rStyle w:val="CharStyle3"/>
          <w:smallCaps/>
          <w:sz w:val="15"/>
        </w:rPr>
        <w:t xml:space="preserve">ontrol et </w:t>
      </w:r>
      <w:r>
        <w:rPr>
          <w:rStyle w:val="CharStyle3"/>
          <w:smallCaps/>
          <w:sz w:val="15"/>
        </w:rPr>
        <w:t xml:space="preserve">P révention</w:t>
      </w:r>
      <w:r>
        <w:rPr>
          <w:rStyle w:val="CharStyle3"/>
        </w:rPr>
        <w:t xml:space="preserve"> (dernière mise à jour le 4 octobre 2023).</w:t>
      </w:r>
    </w:p>
  </w:footnote>
  <w:footnote w:id="20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Les conséquences de la fermeture des écoles: Intended et Unintended: Audition devant le sous-comité H. Select sur la pandémie de coronavirus, H. Comm. on Oversight &amp; Accountability, 118</w:t>
      </w:r>
      <w:r>
        <w:rPr>
          <w:rStyle w:val="CharStyle3"/>
          <w:vertAlign w:val="superscript"/>
        </w:rPr>
        <w:t>e</w:t>
      </w:r>
      <w:r>
        <w:rPr>
          <w:rStyle w:val="CharStyle3"/>
        </w:rPr>
        <w:t xml:space="preserve"> Cong. (Témoignage de Tracy Beth Høeg) (28 mars 2023).</w:t>
      </w:r>
    </w:p>
  </w:footnote>
  <w:footnote w:id="20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Lindsay Kim, et al., Hospitalization Rates and Characteristics of Children Aged &lt;18 Years Hospitalized with Laboratory-Confirmed COVID-19 – COVID-New, 14 States, 1er mars au 25 juillet 2020, MMWR (7 août 2020).</w:t>
      </w:r>
    </w:p>
  </w:footnote>
  <w:footnote w:id="20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Jay Bhattcharya et coll., The Norfolk Group Presents: Questions pour une Commission COVID-19 (6 février 2023).</w:t>
      </w:r>
    </w:p>
  </w:footnote>
  <w:footnote w:id="20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Emily Oster, Schools Aren’t Super-Spreaders, </w:t>
      </w:r>
      <w:r>
        <w:rPr>
          <w:rStyle w:val="CharStyle3"/>
          <w:smallCaps/>
        </w:rPr>
        <w:t>T</w:t>
      </w:r>
      <w:r>
        <w:rPr>
          <w:rStyle w:val="CharStyle3"/>
          <w:smallCaps/>
          <w:sz w:val="15"/>
        </w:rPr>
        <w:t xml:space="preserve">he </w:t>
      </w:r>
      <w:r>
        <w:rPr>
          <w:rStyle w:val="CharStyle3"/>
          <w:smallCaps/>
        </w:rPr>
        <w:t>A</w:t>
      </w:r>
      <w:r>
        <w:rPr>
          <w:rStyle w:val="CharStyle3"/>
          <w:smallCaps/>
          <w:sz w:val="15"/>
        </w:rPr>
        <w:t>tlantic</w:t>
      </w:r>
      <w:r>
        <w:rPr>
          <w:rStyle w:val="CharStyle3"/>
        </w:rPr>
        <w:t xml:space="preserve"> (9 octobre 2020).</w:t>
      </w:r>
    </w:p>
  </w:footnote>
  <w:footnote w:id="20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Roger Highfield, Coronavirus: Hunting Down COVID-19, </w:t>
      </w:r>
      <w:r>
        <w:rPr>
          <w:rStyle w:val="CharStyle3"/>
          <w:smallCaps/>
        </w:rPr>
        <w:t>S</w:t>
      </w:r>
      <w:r>
        <w:rPr>
          <w:rStyle w:val="CharStyle3"/>
          <w:smallCaps/>
          <w:sz w:val="15"/>
        </w:rPr>
        <w:t xml:space="preserve">ci </w:t>
      </w:r>
      <w:r>
        <w:rPr>
          <w:rStyle w:val="CharStyle3"/>
          <w:smallCaps/>
        </w:rPr>
        <w:t>M</w:t>
      </w:r>
      <w:r>
        <w:rPr>
          <w:rStyle w:val="CharStyle3"/>
          <w:smallCaps/>
          <w:sz w:val="15"/>
        </w:rPr>
        <w:t xml:space="preserve">useum </w:t>
      </w:r>
      <w:r>
        <w:rPr>
          <w:rStyle w:val="CharStyle3"/>
          <w:smallCaps/>
        </w:rPr>
        <w:t>G</w:t>
      </w:r>
      <w:r>
        <w:rPr>
          <w:rStyle w:val="CharStyle3"/>
          <w:smallCaps/>
          <w:sz w:val="15"/>
        </w:rPr>
        <w:t>roup</w:t>
      </w:r>
      <w:r>
        <w:rPr>
          <w:rStyle w:val="CharStyle3"/>
        </w:rPr>
        <w:t xml:space="preserve"> (27 avril 2020).</w:t>
      </w:r>
    </w:p>
  </w:footnote>
  <w:footnote w:id="205">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0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Rebecca Jack, et. al., Pandemic Schooling Mode and Student Test Scores: Preuves provenant des districts scolaires des États-Unis, NBER </w:t>
      </w:r>
      <w:r>
        <w:rPr>
          <w:rStyle w:val="CharStyle3"/>
          <w:smallCaps/>
        </w:rPr>
        <w:t>W</w:t>
      </w:r>
      <w:r>
        <w:rPr>
          <w:rStyle w:val="CharStyle3"/>
          <w:smallCaps/>
          <w:sz w:val="15"/>
        </w:rPr>
        <w:t xml:space="preserve">orking </w:t>
      </w:r>
      <w:r>
        <w:rPr>
          <w:rStyle w:val="CharStyle3"/>
          <w:smallCaps/>
        </w:rPr>
        <w:t>P</w:t>
      </w:r>
      <w:r>
        <w:rPr>
          <w:rStyle w:val="CharStyle3"/>
          <w:smallCaps/>
          <w:sz w:val="15"/>
        </w:rPr>
        <w:t xml:space="preserve">aper </w:t>
      </w:r>
      <w:r>
        <w:rPr>
          <w:rStyle w:val="CharStyle3"/>
          <w:smallCaps/>
        </w:rPr>
        <w:t>S</w:t>
      </w:r>
      <w:r>
        <w:rPr>
          <w:rStyle w:val="CharStyle3"/>
          <w:smallCaps/>
          <w:sz w:val="15"/>
        </w:rPr>
        <w:t>eries</w:t>
      </w:r>
      <w:r>
        <w:rPr>
          <w:rStyle w:val="CharStyle3"/>
          <w:smallCaps/>
        </w:rPr>
        <w:t xml:space="preserve"> (26</w:t>
      </w:r>
      <w:r>
        <w:rPr>
          <w:rStyle w:val="CharStyle3"/>
        </w:rPr>
        <w:t xml:space="preserve"> avril 2022).</w:t>
      </w:r>
    </w:p>
  </w:footnote>
  <w:footnote w:id="20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Paulo Puccinelli, et al., Réduire le niveau d’activité physique pendant la pandémie de COVID-19 est associé à des niveaux de dépression et d’anxiété: une enquête en ligne, BMC P</w:t>
      </w:r>
      <w:r>
        <w:rPr>
          <w:rStyle w:val="CharStyle3"/>
          <w:sz w:val="16"/>
        </w:rPr>
        <w:t>UB</w:t>
      </w:r>
      <w:r>
        <w:rPr>
          <w:rStyle w:val="CharStyle3"/>
        </w:rPr>
        <w:t xml:space="preserve">. H</w:t>
      </w:r>
      <w:r>
        <w:rPr>
          <w:rStyle w:val="CharStyle3"/>
          <w:sz w:val="16"/>
        </w:rPr>
        <w:t>EALTH</w:t>
      </w:r>
      <w:r>
        <w:rPr>
          <w:rStyle w:val="CharStyle3"/>
        </w:rPr>
        <w:t xml:space="preserve">, (1er mars 2021); D.S. Burstein, Cardiopulmonary Exercise Performance in the Pediatric and Young Adult Population Before and During the COVID-19 Pandemic, P</w:t>
      </w:r>
      <w:r>
        <w:rPr>
          <w:rStyle w:val="CharStyle3"/>
          <w:sz w:val="16"/>
        </w:rPr>
        <w:t xml:space="preserve">EDIATRIC </w:t>
      </w:r>
      <w:r>
        <w:rPr>
          <w:rStyle w:val="CharStyle3"/>
        </w:rPr>
        <w:t>C</w:t>
      </w:r>
      <w:r>
        <w:rPr>
          <w:rStyle w:val="CharStyle3"/>
          <w:sz w:val="16"/>
        </w:rPr>
        <w:t xml:space="preserve">ARDIOLOGY </w:t>
      </w:r>
      <w:r>
        <w:rPr>
          <w:rStyle w:val="CharStyle3"/>
        </w:rPr>
        <w:t xml:space="preserve">(3 mai 2022).</w:t>
      </w:r>
    </w:p>
  </w:footnote>
  <w:footnote w:id="20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Communiqué de presse, U.S. Ctrs. for Disease Control &amp; Prevention, Les nouvelles données des CDC mettent en lumière les menaces pour la santé mentale des jeunes pendant la pandémie de COVID-19 (31 mars 2022).</w:t>
      </w:r>
    </w:p>
  </w:footnote>
  <w:footnote w:id="20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Keith Meyers &amp; Melissa Thomasson, Paralysé par la panique: Mesurer l’effet des fermetures d’écoles pendant la pandémie de poliomyélite de 1916 sur les résultats scolaires, N</w:t>
      </w:r>
      <w:r>
        <w:rPr>
          <w:rStyle w:val="CharStyle3"/>
          <w:sz w:val="16"/>
        </w:rPr>
        <w:t>AT</w:t>
      </w:r>
      <w:r>
        <w:rPr>
          <w:rStyle w:val="CharStyle3"/>
        </w:rPr>
        <w:t>’</w:t>
      </w:r>
      <w:r>
        <w:rPr>
          <w:rStyle w:val="CharStyle3"/>
          <w:sz w:val="16"/>
        </w:rPr>
        <w:t xml:space="preserve">L </w:t>
      </w:r>
      <w:r>
        <w:rPr>
          <w:rStyle w:val="CharStyle3"/>
        </w:rPr>
        <w:t>B</w:t>
      </w:r>
      <w:r>
        <w:rPr>
          <w:rStyle w:val="CharStyle3"/>
          <w:sz w:val="16"/>
        </w:rPr>
        <w:t xml:space="preserve">UREAU OF </w:t>
      </w:r>
      <w:r>
        <w:rPr>
          <w:rStyle w:val="CharStyle3"/>
        </w:rPr>
        <w:t>E</w:t>
      </w:r>
      <w:r>
        <w:rPr>
          <w:rStyle w:val="CharStyle3"/>
          <w:sz w:val="16"/>
        </w:rPr>
        <w:t>CON</w:t>
      </w:r>
      <w:r>
        <w:rPr>
          <w:rStyle w:val="CharStyle3"/>
        </w:rPr>
        <w:t xml:space="preserve">. R</w:t>
      </w:r>
      <w:r>
        <w:rPr>
          <w:rStyle w:val="CharStyle3"/>
          <w:sz w:val="16"/>
        </w:rPr>
        <w:t>ES</w:t>
      </w:r>
      <w:r>
        <w:rPr>
          <w:rStyle w:val="CharStyle3"/>
        </w:rPr>
        <w:t xml:space="preserve">. (septembre 2017); Chad Aldeman, Analyse: How Devastating Floods in Thailand in 2011 Harmed Students’ Academic Growth, and What Lessons We Can Use in Confronting Learning Loss During the Pandemic (Comment les inondations dévastatrices en Thaïlande en 2011 ont nui à la croissance académique des étudiants et quelles leçons nous pouvons utiliser pour faire face à la perte d’apprentissage pendant la pandémie), T</w:t>
      </w:r>
      <w:r>
        <w:rPr>
          <w:rStyle w:val="CharStyle3"/>
          <w:sz w:val="16"/>
        </w:rPr>
        <w:t>HE</w:t>
      </w:r>
      <w:r>
        <w:rPr>
          <w:rStyle w:val="CharStyle3"/>
        </w:rPr>
        <w:t xml:space="preserve">74 (18 août 2020); Chad Aldeman, Aldeman: What a Wave of Teacher Strikes in Argentina Can Teach Us About Learning Disruptions, Degree Attainment, Higher Unemployment &amp; Lower Earnings, T</w:t>
      </w:r>
      <w:r>
        <w:rPr>
          <w:rStyle w:val="CharStyle3"/>
          <w:sz w:val="16"/>
        </w:rPr>
        <w:t>HE</w:t>
      </w:r>
      <w:r>
        <w:rPr>
          <w:rStyle w:val="CharStyle3"/>
        </w:rPr>
        <w:t xml:space="preserve">74 (12 août 2020); Chad Aldeman, Aldeman: What a 2005 Earthquake in Pakistan Can Teach American Educators About Learning Loss After a Disaster, T</w:t>
      </w:r>
      <w:r>
        <w:rPr>
          <w:rStyle w:val="CharStyle3"/>
          <w:sz w:val="16"/>
        </w:rPr>
        <w:t>HE</w:t>
      </w:r>
      <w:r>
        <w:rPr>
          <w:rStyle w:val="CharStyle3"/>
        </w:rPr>
        <w:t xml:space="preserve">74 (28 juillet 2020).</w:t>
      </w:r>
    </w:p>
  </w:footnote>
  <w:footnote w:id="21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Amy Falk, et al., COVID-19 Cases and Transmission in 17 K-12 Schools—Wood County, Wisconsin, 31 août – 29 novembre 2020, Ctrs. for Disease Control and Prevention, MMWR (29 janvier 2021).</w:t>
      </w:r>
    </w:p>
  </w:footnote>
  <w:footnote w:id="21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Voir Jay Bhattacharya et al., Questions for a COVID-19 Commission, The Norfolk Grp, (6 février 2023).</w:t>
      </w:r>
    </w:p>
  </w:footnote>
  <w:footnote w:id="21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Amy Falk, et al., COVID-19 Cases and Transmission in 17 K-12 Schools—Wood County, Wisconsin, 31 août – 29 novembre 2020, Ctrs. for Disease Control and Prevention, MMWR (29 janvier 2021).</w:t>
      </w:r>
    </w:p>
  </w:footnote>
  <w:footnote w:id="21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Les conséquences des fermetures d'écoles, Partie 2: La Présidente de la Fédération américaine des enseignants, Mme Randi Weingarten: Audition devant le sous-comité H. Select sur la pandémie de coronavirus, H. Comm. on Oversight &amp; Accountability, 118</w:t>
      </w:r>
      <w:r>
        <w:rPr>
          <w:rStyle w:val="CharStyle3"/>
          <w:vertAlign w:val="superscript"/>
        </w:rPr>
        <w:t>e</w:t>
      </w:r>
      <w:r>
        <w:rPr>
          <w:rStyle w:val="CharStyle3"/>
        </w:rPr>
        <w:t xml:space="preserve"> Cong. (26 avril 2023) (Témoignage de Randi Weingarten).</w:t>
      </w:r>
    </w:p>
  </w:footnote>
  <w:footnote w:id="21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Les conséquences de la fermeture des écoles: Intended and Unintended, Hearing Before the H. Select Subcomm. on the Coronavirus Pandemic, H. Comm. on Oversight &amp; Accountability, 118</w:t>
      </w:r>
      <w:r>
        <w:rPr>
          <w:rStyle w:val="CharStyle3"/>
          <w:vertAlign w:val="superscript"/>
        </w:rPr>
        <w:t>e</w:t>
      </w:r>
      <w:r>
        <w:rPr>
          <w:rStyle w:val="CharStyle3"/>
        </w:rPr>
        <w:t xml:space="preserve"> siècle. (28 mars 2023),</w:t>
      </w:r>
    </w:p>
  </w:footnote>
  <w:footnote w:id="21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Josh Christenson, Randi Weingarten a déformé l’étude sur la COVID au Congrès, selon l’auteur, N.Y. </w:t>
      </w:r>
      <w:r>
        <w:rPr>
          <w:rStyle w:val="CharStyle3"/>
          <w:smallCaps/>
        </w:rPr>
        <w:t>P.</w:t>
      </w:r>
      <w:r>
        <w:rPr>
          <w:rStyle w:val="CharStyle3"/>
          <w:smallCaps/>
          <w:sz w:val="15"/>
        </w:rPr>
        <w:t>ost</w:t>
      </w:r>
      <w:r>
        <w:rPr>
          <w:rStyle w:val="CharStyle3"/>
        </w:rPr>
        <w:t xml:space="preserve"> (28 avril 2023).</w:t>
      </w:r>
    </w:p>
  </w:footnote>
  <w:footnote w:id="21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Les conséquences des fermetures d'écoles, Partie 2: La Présidente de la Fédération américaine des enseignants, Mme Randi Weingarten: Audition devant le sous-comité H. Select sur la pandémie de coronavirus, H. Comm. on Oversight &amp; Accountability, 118</w:t>
      </w:r>
      <w:r>
        <w:rPr>
          <w:rStyle w:val="CharStyle3"/>
          <w:vertAlign w:val="superscript"/>
        </w:rPr>
        <w:t>e</w:t>
      </w:r>
      <w:r>
        <w:rPr>
          <w:rStyle w:val="CharStyle3"/>
        </w:rPr>
        <w:t xml:space="preserve"> Cong. (26 avril 2023) (réponse affirmative selon laquelle ils «consultent» des épidémiologistes et des immunologistes); Tu vois, Nedrow TI,</w:t>
      </w:r>
    </w:p>
  </w:footnote>
  <w:footnote w:id="21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Les conséquences des fermetures d'écoles, Partie 2: La Présidente de la Fédération américaine des enseignants, Mme Randi Weingarten: Audition devant le sous-comité H. Select sur la pandémie de coronavirus, H. Comm. on Oversight &amp; Accountability, 118</w:t>
      </w:r>
      <w:r>
        <w:rPr>
          <w:rStyle w:val="CharStyle3"/>
          <w:vertAlign w:val="superscript"/>
        </w:rPr>
        <w:t>e</w:t>
      </w:r>
      <w:r>
        <w:rPr>
          <w:rStyle w:val="CharStyle3"/>
        </w:rPr>
        <w:t xml:space="preserve"> Cong. (26 avril 2023) (Témoignage de Randi Weingarten), p. 8 et 9.</w:t>
      </w:r>
    </w:p>
  </w:footnote>
  <w:footnote w:id="21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Michael Bromwich, conseiller juridique de l’American Federation of Teachers, à Brad Wenstrup, président de Select Subcomm., sur la pandémie de coronavirus (19 avril 2023).</w:t>
      </w:r>
    </w:p>
  </w:footnote>
  <w:footnote w:id="21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Les conséquences des fermetures d'écoles, Partie 2: La Présidente de la Fédération américaine des enseignants, Mme Randi Weingarten: Audition devant le sous-comité H. Select sur la pandémie de coronavirus, H. Comm. on Oversight &amp; Accountability, 118</w:t>
      </w:r>
      <w:r>
        <w:rPr>
          <w:rStyle w:val="CharStyle3"/>
          <w:vertAlign w:val="superscript"/>
        </w:rPr>
        <w:t>e</w:t>
      </w:r>
      <w:r>
        <w:rPr>
          <w:rStyle w:val="CharStyle3"/>
        </w:rPr>
        <w:t xml:space="preserve"> Cong. (26 avril 2023) (réponse affirmative selon laquelle ils «consultent» des épidémiologistes et des immunologistes).</w:t>
      </w:r>
    </w:p>
  </w:footnote>
  <w:footnote w:id="220">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Nedrow TI, à 19 ans.</w:t>
      </w:r>
    </w:p>
  </w:footnote>
  <w:footnote w:id="22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Les conséquences des fermetures d'écoles, Partie 2: La Présidente de la Fédération américaine des enseignants, Mme Randi Weingarten: Audition devant le sous-comité H. Select sur la pandémie de coronavirus, H. Comm. on Oversight &amp; Accountability, 118</w:t>
      </w:r>
      <w:r>
        <w:rPr>
          <w:rStyle w:val="CharStyle3"/>
          <w:vertAlign w:val="superscript"/>
        </w:rPr>
        <w:t>e</w:t>
      </w:r>
      <w:r>
        <w:rPr>
          <w:rStyle w:val="CharStyle3"/>
        </w:rPr>
        <w:t xml:space="preserve"> Cong. (26 avril 2023)</w:t>
      </w:r>
    </w:p>
  </w:footnote>
  <w:footnote w:id="222">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AFT’s Weingarten Rejects Trump’s Schools Reopening Guidelines as Too Little, Too Late (12 août 2020); Eliza Shapiro, How Trump’s Push to Reopen Schools Backfired,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smallCaps/>
        </w:rPr>
        <w:t xml:space="preserve"> (15 </w:t>
      </w:r>
      <w:r>
        <w:rPr>
          <w:rStyle w:val="CharStyle3"/>
        </w:rPr>
        <w:t xml:space="preserve">août 2020).</w:t>
      </w:r>
    </w:p>
  </w:footnote>
  <w:footnote w:id="22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Jessica Glenza, «Reckless, callous, cruel»: Le chef des enseignants dénonce le plan de Trump de rouvrir les écoles, </w:t>
      </w:r>
      <w:r>
        <w:rPr>
          <w:rStyle w:val="CharStyle3"/>
          <w:smallCaps/>
        </w:rPr>
        <w:t>T</w:t>
      </w:r>
      <w:r>
        <w:rPr>
          <w:rStyle w:val="CharStyle3"/>
          <w:smallCaps/>
          <w:sz w:val="15"/>
        </w:rPr>
        <w:t xml:space="preserve">he </w:t>
      </w:r>
      <w:r>
        <w:rPr>
          <w:rStyle w:val="CharStyle3"/>
          <w:smallCaps/>
        </w:rPr>
        <w:t>G</w:t>
      </w:r>
      <w:r>
        <w:rPr>
          <w:rStyle w:val="CharStyle3"/>
          <w:smallCaps/>
          <w:sz w:val="15"/>
        </w:rPr>
        <w:t>uardian</w:t>
      </w:r>
      <w:r>
        <w:rPr>
          <w:rStyle w:val="CharStyle3"/>
        </w:rPr>
        <w:t xml:space="preserve"> (17 juillet 2020).</w:t>
      </w:r>
    </w:p>
  </w:footnote>
  <w:footnote w:id="22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 Am. Fed’n of Teachers (AFTHQ), Enough is Enough, YouTube (26 août 2020), disponible à l’adresse </w:t>
      </w:r>
      <w:r>
        <w:fldChar w:fldCharType="begin"/>
      </w:r>
      <w:r>
        <w:rPr/>
        <w:instrText> HYPERLINK "https://www.youtube.com/watch?v=svnqsKd8Y4I" </w:instrText>
      </w:r>
      <w:r>
        <w:fldChar w:fldCharType="separate"/>
      </w:r>
      <w:r>
        <w:rPr>
          <w:rStyle w:val="CharStyle3"/>
        </w:rPr>
        <w:t>https://www.youtube.com/watch?v=svnqsKd8Y4I</w:t>
      </w:r>
      <w:r>
        <w:fldChar w:fldCharType="end"/>
      </w:r>
      <w:r>
        <w:rPr>
          <w:rStyle w:val="CharStyle3"/>
        </w:rPr>
        <w:t>.</w:t>
      </w:r>
    </w:p>
  </w:footnote>
  <w:footnote w:id="225">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Randi Weingarten, président de l’AFT, déclare que les éducateurs restent confus au sujet des orientations de la CDC sur la réouverture des écoles, rien n’est hors de la table pour les enseignants si les écoles ne sont pas sûres (24 juillet 2020); Voir également Future of Employability, AXIOS (20 août 2020) (Weingarten fait remarquer que «[s]i nous avons l’obligation d’améliorer [l’apprentissage] à distance jusqu’à ce que nous puissions réellement réduire la communauté (coronavirus) répartie dans l’ensemble des États-Unis, la distanciation de l’apprentissage et du travail à distance sera une réalité».</w:t>
      </w:r>
    </w:p>
  </w:footnote>
  <w:footnote w:id="226">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Des éducateurs de Floride intentent une action en justice pour mettre fin à la réouverture imprudente et dangereuse de bâtiments scolaires publics (20 juillet 2020); Communiqué de presse, Am. Fed’n of Teachers, Educators React to Latest Proceedings in Florida Case on School Reopening (13 août 2020), communiqué de presse, Am. Fed’n of Teachers, Cypress-Fairbanks AFT Seeks Injunction to Halt Requirement for School Employees to Return to School Buildings (14 août 2020); Communiqué de presse, Am. Fed’n of Teachers, Florida educators win temporary injunction against the executive order (24 août 2020); Communiqué de presse, Am. Fed’n of Teachers, Florida Educators to Appeal Court Ruling, Continue to Fight for Local Control and School Safety (9 octobre 2020); Communiqué de presse, Am. Fed’n of Teachers, PTU Files Lawsuit Seeking to Close Greene Middle School in Providence (2 novembre 2020).</w:t>
      </w:r>
    </w:p>
  </w:footnote>
  <w:footnote w:id="227">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Florida met les étudiants et les enseignants en danger malgré les poursuites syndicales (17 août 2020).</w:t>
      </w:r>
    </w:p>
  </w:footnote>
  <w:footnote w:id="22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Résolution, Am. Fed’n of Teachers, Safely Reopening Schools (2020); Discours, Confronting America’s Three Crises, Randi Weingarten, président de l’AFT (28 juillet 2020); Gabrielle Wanneh, Teachers Union Considers Strikes Over School Reopenings (28 juillet 2020); Valerie Strauss, New York City Schools ferme ses portes en raison de la hausse des taux de coronavirus, tout comme toutes les écoles du Kentucky, T</w:t>
      </w:r>
      <w:r>
        <w:rPr>
          <w:rStyle w:val="CharStyle3"/>
          <w:sz w:val="16"/>
        </w:rPr>
        <w:t xml:space="preserve">HE </w:t>
      </w:r>
      <w:r>
        <w:rPr>
          <w:rStyle w:val="CharStyle3"/>
        </w:rPr>
        <w:t>W</w:t>
      </w:r>
      <w:r>
        <w:rPr>
          <w:rStyle w:val="CharStyle3"/>
          <w:sz w:val="16"/>
        </w:rPr>
        <w:t>ASH.</w:t>
      </w:r>
      <w:r>
        <w:rPr>
          <w:rStyle w:val="CharStyle3"/>
        </w:rPr>
        <w:t xml:space="preserve"> P</w:t>
      </w:r>
      <w:r>
        <w:rPr>
          <w:rStyle w:val="CharStyle3"/>
          <w:sz w:val="16"/>
        </w:rPr>
        <w:t xml:space="preserve">OST </w:t>
      </w:r>
      <w:r>
        <w:rPr>
          <w:rStyle w:val="CharStyle3"/>
        </w:rPr>
        <w:t xml:space="preserve">(18 novembre 2020).</w:t>
      </w:r>
    </w:p>
  </w:footnote>
  <w:footnote w:id="22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Kashyap TI à 66-67.</w:t>
      </w:r>
    </w:p>
  </w:footnote>
  <w:footnote w:id="23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 Mike Antonucci, Teacher Union Resistance to Reopening Schools (Résistance du syndicat des enseignants à la réouverture des écoles): An Examination of the Largest U.S. School Districts, </w:t>
      </w:r>
      <w:r>
        <w:rPr>
          <w:rStyle w:val="CharStyle3"/>
          <w:smallCaps/>
        </w:rPr>
        <w:t>D</w:t>
      </w:r>
      <w:r>
        <w:rPr>
          <w:rStyle w:val="CharStyle3"/>
          <w:smallCaps/>
          <w:sz w:val="15"/>
        </w:rPr>
        <w:t xml:space="preserve">efense of </w:t>
      </w:r>
      <w:r>
        <w:rPr>
          <w:rStyle w:val="CharStyle3"/>
          <w:smallCaps/>
        </w:rPr>
        <w:t>F</w:t>
      </w:r>
      <w:r>
        <w:rPr>
          <w:rStyle w:val="CharStyle3"/>
          <w:smallCaps/>
          <w:sz w:val="15"/>
        </w:rPr>
        <w:t xml:space="preserve">reedom </w:t>
      </w:r>
      <w:r>
        <w:rPr>
          <w:rStyle w:val="CharStyle3"/>
          <w:smallCaps/>
        </w:rPr>
        <w:t>I</w:t>
      </w:r>
      <w:r>
        <w:rPr>
          <w:rStyle w:val="CharStyle3"/>
          <w:smallCaps/>
          <w:sz w:val="15"/>
        </w:rPr>
        <w:t>nstitute</w:t>
      </w:r>
      <w:r>
        <w:rPr>
          <w:rStyle w:val="CharStyle3"/>
        </w:rPr>
        <w:t xml:space="preserve"> disponible à </w:t>
      </w:r>
      <w:r>
        <w:fldChar w:fldCharType="begin"/>
      </w:r>
      <w:r>
        <w:rPr/>
        <w:instrText> HYPERLINK "https://dfipolicy.org/wp-content/uploads/2021/10/DFI_Teachers-Union-Resistance-to-Reopening-Schools-Report.pdf" </w:instrText>
      </w:r>
      <w:r>
        <w:fldChar w:fldCharType="separate"/>
      </w:r>
      <w:r>
        <w:rPr>
          <w:rStyle w:val="CharStyle3"/>
        </w:rPr>
        <w:t xml:space="preserve">l’adresse https://dfipolicy.org/wp- content/uploads/2021/10/DFI_Teachers-Union-Resistance-to-Reopening-Schools-Report.pdf</w:t>
      </w:r>
      <w:r>
        <w:fldChar w:fldCharType="end"/>
      </w:r>
      <w:r>
        <w:rPr>
          <w:rStyle w:val="CharStyle3"/>
        </w:rPr>
        <w:t>.</w:t>
      </w:r>
    </w:p>
  </w:footnote>
  <w:footnote w:id="23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Mitch Smith &amp; Dana Goldstein, In a Clash With the Teachers’ Union, Chicago Cancels Classes for a Day, </w:t>
      </w:r>
      <w:r>
        <w:rPr>
          <w:rStyle w:val="CharStyle3"/>
          <w:smallCaps/>
        </w:rPr>
        <w:t>T</w:t>
      </w:r>
      <w:r>
        <w:rPr>
          <w:rStyle w:val="CharStyle3"/>
          <w:smallCaps/>
          <w:sz w:val="15"/>
        </w:rPr>
        <w:t xml:space="preserve">he </w:t>
      </w:r>
      <w:r>
        <w:rPr>
          <w:rStyle w:val="CharStyle3"/>
        </w:rPr>
        <w:t xml:space="preserve">N.Y. T</w:t>
      </w:r>
      <w:r>
        <w:rPr>
          <w:rStyle w:val="CharStyle3"/>
          <w:sz w:val="16"/>
        </w:rPr>
        <w:t xml:space="preserve">IMES </w:t>
      </w:r>
      <w:r>
        <w:rPr>
          <w:rStyle w:val="CharStyle3"/>
        </w:rPr>
        <w:t xml:space="preserve">(4 janvier 2022).</w:t>
      </w:r>
    </w:p>
  </w:footnote>
  <w:footnote w:id="23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Mike Antonucci, Teacher Union Resistance to Reopening Schools (Résistance du syndicat des enseignants à la réouverture des écoles): Examen des plus grands districts scolaires des États-Unis, Defense of Freedom Institute</w:t>
      </w:r>
    </w:p>
  </w:footnote>
  <w:footnote w:id="23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Eliza Shapiro &amp; Dana Rubinstein, A-t-il frappé 3%? Pourquoi les parents et les enseignants sont fixés sur un seul numéro, </w:t>
      </w:r>
      <w:r>
        <w:rPr>
          <w:rStyle w:val="CharStyle3"/>
          <w:smallCaps/>
        </w:rPr>
        <w:t>T</w:t>
      </w:r>
      <w:r>
        <w:rPr>
          <w:rStyle w:val="CharStyle3"/>
          <w:smallCaps/>
          <w:sz w:val="15"/>
        </w:rPr>
        <w:t xml:space="preserve">he </w:t>
      </w:r>
      <w:r>
        <w:rPr>
          <w:rStyle w:val="CharStyle3"/>
        </w:rPr>
        <w:t xml:space="preserve">N.Y. </w:t>
      </w:r>
      <w:r>
        <w:rPr>
          <w:rStyle w:val="CharStyle3"/>
          <w:smallCaps/>
        </w:rPr>
        <w:t>T</w:t>
      </w:r>
      <w:r>
        <w:rPr>
          <w:rStyle w:val="CharStyle3"/>
          <w:smallCaps/>
          <w:sz w:val="15"/>
        </w:rPr>
        <w:t>imes</w:t>
      </w:r>
      <w:r>
        <w:rPr>
          <w:rStyle w:val="CharStyle3"/>
        </w:rPr>
        <w:t xml:space="preserve"> (15 novembre 2020; Lauren Camera, School Reopening Thresholds Vary Widely Across the Country, U.S. News (13 août 2020).</w:t>
      </w:r>
    </w:p>
  </w:footnote>
  <w:footnote w:id="234">
    <w:p>
      <w:pPr>
        <w:pStyle w:val="Style2"/>
        <w:keepNext w:val="0"/>
        <w:keepLines w:val="0"/>
        <w:widowControl w:val="0"/>
        <w:shd w:val="clear" w:color="auto" w:fill="auto"/>
        <w:spacing w:before="0" w:after="0" w:line="218" w:lineRule="auto"/>
        <w:ind w:left="0" w:right="0" w:firstLine="0"/>
        <w:jc w:val="left"/>
      </w:pPr>
      <w:r>
        <w:rPr>
          <w:rStyle w:val="CharStyle3"/>
          <w:sz w:val="22"/>
        </w:rPr>
        <w:footnoteRef/>
        <w:t xml:space="preserve"> </w:t>
      </w:r>
      <w:r>
        <w:rPr>
          <w:rStyle w:val="CharStyle3"/>
        </w:rPr>
        <w:t xml:space="preserve">L'histoire avec Martha MacCallum, Fox News (19 novembre 2020).</w:t>
      </w:r>
    </w:p>
  </w:footnote>
  <w:footnote w:id="235">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AFT et NYSUT sur la réouverture des écoles de l’État de New York (6 janvier 2021).</w:t>
      </w:r>
    </w:p>
  </w:footnote>
  <w:footnote w:id="23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Les conséquences des fermetures d'écoles, Partie 2: La Présidente de la Fédération américaine des enseignants, Mme Randi Weingarten: Audition devant le sous-comité H. Select sur la pandémie de coronavirus, H. Comm. on Oversight &amp; Accountability, 118</w:t>
      </w:r>
      <w:r>
        <w:rPr>
          <w:rStyle w:val="CharStyle3"/>
          <w:vertAlign w:val="superscript"/>
        </w:rPr>
        <w:t>e</w:t>
      </w:r>
      <w:r>
        <w:rPr>
          <w:rStyle w:val="CharStyle3"/>
        </w:rPr>
        <w:t xml:space="preserve"> Cong. (26 avril 2023); voir également le rapport de l’AFT</w:t>
      </w:r>
    </w:p>
  </w:footnote>
  <w:footnote w:id="23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 Plan to Safely Reopen America’s Schools and Communities, American Federation of Teachers (29 avril 2020) [ci-après le «rapport de l’AFT»].</w:t>
      </w:r>
    </w:p>
  </w:footnote>
  <w:footnote w:id="238">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Id. à 24 heures.</w:t>
      </w:r>
    </w:p>
  </w:footnote>
  <w:footnote w:id="23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Identifiant a4 26.</w:t>
      </w:r>
    </w:p>
  </w:footnote>
  <w:footnote w:id="24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Exec. Ordonnance no 14000, 86 Fed. Reg. 7215 (26 janvier 2021), Voir également Stratégie nationale pour la COVID-19</w:t>
      </w:r>
    </w:p>
    <w:p>
      <w:pPr>
        <w:pStyle w:val="Style2"/>
        <w:keepNext w:val="0"/>
        <w:keepLines w:val="0"/>
        <w:widowControl w:val="0"/>
        <w:shd w:val="clear" w:color="auto" w:fill="auto"/>
        <w:spacing w:before="0" w:after="0" w:line="240" w:lineRule="auto"/>
        <w:ind w:left="0" w:right="0" w:firstLine="0"/>
        <w:jc w:val="left"/>
      </w:pPr>
      <w:r>
        <w:rPr>
          <w:rStyle w:val="CharStyle3"/>
        </w:rPr>
        <w:t xml:space="preserve">Intervention et préparation en cas de pandémie, Prés. Joseph Biden (21 janvier 2021), disponible à l’adresse suivante:</w:t>
      </w:r>
    </w:p>
    <w:p>
      <w:pPr>
        <w:pStyle w:val="Style2"/>
        <w:keepNext w:val="0"/>
        <w:keepLines w:val="0"/>
        <w:widowControl w:val="0"/>
        <w:shd w:val="clear" w:color="auto" w:fill="auto"/>
        <w:spacing w:before="0" w:after="0" w:line="240" w:lineRule="auto"/>
        <w:ind w:left="0" w:right="0" w:firstLine="0"/>
        <w:jc w:val="left"/>
      </w:pPr>
      <w:r>
        <w:fldChar w:fldCharType="begin"/>
      </w:r>
      <w:r>
        <w:rPr/>
        <w:instrText> HYPERLINK "https://www.whitehouse.gov/wp-content/uploads/2021/01/National-Strategy-for-the-COVID-19-Response-and-Pandemic-Preparedness.pdf" </w:instrText>
      </w:r>
      <w:r>
        <w:fldChar w:fldCharType="separate"/>
      </w:r>
      <w:r>
        <w:rPr>
          <w:rStyle w:val="CharStyle3"/>
        </w:rPr>
        <w:t xml:space="preserve">https://www.whitehouse.gov/wp-content/uploads/2021/01/National-Strategy-for-the-COVID-19-Response-and- Pandemic-Preparedness.pdf</w:t>
      </w:r>
      <w:r>
        <w:fldChar w:fldCharType="end"/>
      </w:r>
      <w:r>
        <w:rPr>
          <w:rStyle w:val="CharStyle3"/>
        </w:rPr>
        <w:t>.</w:t>
      </w:r>
    </w:p>
  </w:footnote>
  <w:footnote w:id="241">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Am. Fed’n of Teachers, AFT’s Weingarten on President Biden’s Executive Order on Safely Reopening Schools (21 janvier 2021).</w:t>
      </w:r>
    </w:p>
  </w:footnote>
  <w:footnote w:id="24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Texte de [Redacted], Am. Fed’n of Teachers, à Mme Kelly Trautner, Am. Fed’n of Teachers (27 janvier 2021, 11 h 04).</w:t>
      </w:r>
    </w:p>
  </w:footnote>
  <w:footnote w:id="24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EMail de Carmel Martin, conseiller politique, Maison Blanche, à Randi Weingarten, président, Am. Fed’n of Teachers, et. al. (29 janvier 2021).</w:t>
      </w:r>
    </w:p>
  </w:footnote>
  <w:footnote w:id="24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Carole Johnson, coordinatrice des tests, équipe d’intervention contre la COVID-19, Maison Blanche, à Randi Weingarten, président, Am. Fed’n of Teachers (29 janvier 2021).</w:t>
      </w:r>
    </w:p>
  </w:footnote>
  <w:footnote w:id="245">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46">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4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Kashyap TI, à 9 &amp; 46.</w:t>
      </w:r>
    </w:p>
  </w:footnote>
  <w:footnote w:id="24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Marla Ucelli-Kashyap, directrice principale, Am. Fed’n of Teachers, à Robin Vitucci, Am. Fed’n of Teachers, et al. (28 janvier 2021).</w:t>
      </w:r>
    </w:p>
  </w:footnote>
  <w:footnote w:id="249">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5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Marla Ucelli-Kashyap, directrice principale, Am. Fed’n of Teachers, à Robin Vitucci, Am. Fed’n of Teachers, et al. (29 janvier 2021).</w:t>
      </w:r>
    </w:p>
  </w:footnote>
  <w:footnote w:id="25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Notes préparées par le personnel, pour Mme Weingarten, pour appel avec le Dr Walensky (semaine du 1er janvier 29, 2021) (au dossier de Subcomm).</w:t>
      </w:r>
    </w:p>
  </w:footnote>
  <w:footnote w:id="252">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53">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Massetti TI, à 43 ans.</w:t>
      </w:r>
    </w:p>
  </w:footnote>
  <w:footnote w:id="25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Masetti à 57 ans</w:t>
      </w:r>
    </w:p>
  </w:footnote>
  <w:footnote w:id="255">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Voir Ucelli-Kashyap TI, point 26.</w:t>
      </w:r>
    </w:p>
  </w:footnote>
  <w:footnote w:id="256">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5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Tu vois, Massetti TI. 63</w:t>
      </w:r>
    </w:p>
  </w:footnote>
  <w:footnote w:id="258">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59">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Cite auditive de Walensky.</w:t>
      </w:r>
    </w:p>
  </w:footnote>
  <w:footnote w:id="26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Sherri Berger, Ctr. for Disease Control and Prevention, à Dawn O’Connell, Dep’t. of Health and Human Serv., et al. (30 janvier 2021).</w:t>
      </w:r>
    </w:p>
  </w:footnote>
  <w:footnote w:id="26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6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Kelly Trautner, Am. Fed’n of Teachers, à Randi Weingarten, président, Am. Fed’n of Teachers, et al. (1er février 2021, 18h27).</w:t>
      </w:r>
    </w:p>
  </w:footnote>
  <w:footnote w:id="263">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6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Chelsea Prax, Am. Fed’n of Teachers, à Marla Ucelli-Kashyap, Am. Fed’n of Teachers (1er février 2021, 14 h 38).</w:t>
      </w:r>
    </w:p>
  </w:footnote>
  <w:footnote w:id="265">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6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Henry Walke, Ctr. pour le contrôle et la prévention des maladies, à Sherri Berger, Ctrs. pour le contrôle et la prévention des maladies, Carole Johnson, coordonnatrice des tests, Équipe d'intervention COVID-19, La Maison Blanche (1er février 2021, 20h03).</w:t>
      </w:r>
    </w:p>
  </w:footnote>
  <w:footnote w:id="26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68">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69">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Masetti TI, à 51-51.</w:t>
      </w:r>
    </w:p>
  </w:footnote>
  <w:footnote w:id="27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Kelly Trautner, Am. Fed’n of Teachers, à Marla Ucelli-Kashyap, Am. Fed’n of Teachers, et al. (29 janvier 2021, 18h43).</w:t>
      </w:r>
    </w:p>
  </w:footnote>
  <w:footnote w:id="271">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Masetti TI, à 19020.</w:t>
      </w:r>
    </w:p>
  </w:footnote>
  <w:footnote w:id="27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Walke TI., à 60-61 &amp; 66.</w:t>
      </w:r>
    </w:p>
  </w:footnote>
  <w:footnote w:id="27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Kelly Trautner, Am. Fed’n of Teachers, à Mme Carole Johnson, coordinatrice des tests, équipe d’intervention contre la COVID-19, Maison Blanche, et al. (1er février 2021, 19h27) (ci-après AFT Edit 1).</w:t>
      </w:r>
    </w:p>
  </w:footnote>
  <w:footnote w:id="274">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75">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7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Rochelle Walensky, Dir., U.S. Ctrs. Pour Disease Control &amp; Prevention, à Carole Johnson, coordonnatrice des tests, COVID-19 Response Team, The White House, et. al. (3 février 2021, 17h04).</w:t>
      </w:r>
    </w:p>
  </w:footnote>
  <w:footnote w:id="27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Marla Ucelli-Kashyap, Am. Fed. of Teachers, à Justin Stone, Am. Fed. of Teachers, et. al. (février.</w:t>
      </w:r>
    </w:p>
    <w:p>
      <w:pPr>
        <w:pStyle w:val="Style2"/>
        <w:keepNext w:val="0"/>
        <w:keepLines w:val="0"/>
        <w:widowControl w:val="0"/>
        <w:shd w:val="clear" w:color="auto" w:fill="auto"/>
        <w:spacing w:before="0" w:after="0" w:line="240" w:lineRule="auto"/>
        <w:ind w:left="0" w:right="0" w:firstLine="0"/>
        <w:jc w:val="left"/>
      </w:pPr>
      <w:r>
        <w:rPr>
          <w:rStyle w:val="CharStyle3"/>
        </w:rPr>
        <w:t xml:space="preserve">10, 2021, 13h52).</w:t>
      </w:r>
    </w:p>
  </w:footnote>
  <w:footnote w:id="278">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7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(soulignement ajouté).</w:t>
      </w:r>
    </w:p>
  </w:footnote>
  <w:footnote w:id="28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8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Des textes récemment révélés montrent la relation entre les syndicats d’enseignants, la CDC de Biden, F</w:t>
      </w:r>
      <w:r>
        <w:rPr>
          <w:rStyle w:val="CharStyle3"/>
          <w:sz w:val="16"/>
        </w:rPr>
        <w:t xml:space="preserve">AIRFAX </w:t>
      </w:r>
      <w:r>
        <w:rPr>
          <w:rStyle w:val="CharStyle3"/>
        </w:rPr>
        <w:t>R</w:t>
      </w:r>
      <w:r>
        <w:rPr>
          <w:rStyle w:val="CharStyle3"/>
          <w:sz w:val="16"/>
        </w:rPr>
        <w:t xml:space="preserve">EPUBLICANS </w:t>
      </w:r>
      <w:r>
        <w:rPr>
          <w:rStyle w:val="CharStyle3"/>
        </w:rPr>
        <w:t>(juin)</w:t>
      </w:r>
    </w:p>
    <w:p>
      <w:pPr>
        <w:pStyle w:val="Style2"/>
        <w:keepNext w:val="0"/>
        <w:keepLines w:val="0"/>
        <w:widowControl w:val="0"/>
        <w:shd w:val="clear" w:color="auto" w:fill="auto"/>
        <w:spacing w:before="0" w:after="0" w:line="240" w:lineRule="auto"/>
        <w:ind w:left="0" w:right="0" w:firstLine="0"/>
        <w:jc w:val="left"/>
      </w:pPr>
      <w:r>
        <w:rPr>
          <w:rStyle w:val="CharStyle3"/>
        </w:rPr>
        <w:t xml:space="preserve">5, 2023).</w:t>
      </w:r>
    </w:p>
  </w:footnote>
  <w:footnote w:id="282">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8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Mme Kelly Trautner, American Fed. Of Teachers, à Mme Rochelle Walensky, Dir., U.S. Ctrs. Pour le contrôle des maladies &amp; Prévention, et. al. (11 février 2021, 16 h 25).</w:t>
      </w:r>
    </w:p>
  </w:footnote>
  <w:footnote w:id="284">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85">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28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Kelly Trautner, American Fed. Of Teachers, à Rochelle Walensky, M.D., Dir., U.S. Ctrs. Pour le contrôle des maladies &amp; Prévention, et. al. (11 février 2021, 16 h 25).</w:t>
      </w:r>
    </w:p>
  </w:footnote>
  <w:footnote w:id="28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8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Ucelli-Kashyap, Am. Fed. of Teachers, à Rob Well, Am. Fed. of Teachers, et. al. (11 février 2021, 17h46).</w:t>
      </w:r>
    </w:p>
  </w:footnote>
  <w:footnote w:id="289">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Trautner TI. À 71-71.</w:t>
      </w:r>
    </w:p>
  </w:footnote>
  <w:footnote w:id="29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Trautner TI. 77</w:t>
      </w:r>
    </w:p>
  </w:footnote>
  <w:footnote w:id="29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Christopher Jones, Ctr. for Disease Control and Prevention, à Randi Weingarten, Am. Fed. of Teachers, et. al. (11 février 2021, 17h58).</w:t>
      </w:r>
    </w:p>
  </w:footnote>
  <w:footnote w:id="29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Donna Harris-Aikens, Dep’t of Edu., à Randi Weingarten, Am. Fed. of Teachers (11 février 2021, 19 h 43)</w:t>
      </w:r>
    </w:p>
  </w:footnote>
  <w:footnote w:id="293">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9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Walke, gestionnaire des incidents liés à la COVID-19, RCT des États-Unis. Pour Disease Control &amp; Prevention, à la Dre Rochelle Walensky, Dir. U.S. Ctrs. For Disease Control &amp; Prevention (12 février 2021); Trevor Hunnicutt, U.S. CDC Recommends Schools Reopen With Masks and Rigid Health Protocols, R</w:t>
      </w:r>
      <w:r>
        <w:rPr>
          <w:rStyle w:val="CharStyle3"/>
          <w:sz w:val="16"/>
        </w:rPr>
        <w:t xml:space="preserve">EUTERS </w:t>
      </w:r>
      <w:r>
        <w:rPr>
          <w:rStyle w:val="CharStyle3"/>
        </w:rPr>
        <w:t xml:space="preserve">(12 février 2021).</w:t>
      </w:r>
    </w:p>
  </w:footnote>
  <w:footnote w:id="29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Walke (12 février 2021).</w:t>
      </w:r>
    </w:p>
  </w:footnote>
  <w:footnote w:id="29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Sarah Mervosh, The Pandemic Erased Two Decades of Progress in Math and Reading,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smallCaps/>
        </w:rPr>
        <w:t xml:space="preserve"> (1er</w:t>
      </w:r>
      <w:r>
        <w:rPr>
          <w:rStyle w:val="CharStyle3"/>
        </w:rPr>
        <w:t xml:space="preserve"> septembre 2022); Cheyanne Mumphrey, ACT test scores drop to low in 30 years in pandemic slide, </w:t>
      </w:r>
      <w:r>
        <w:rPr>
          <w:rStyle w:val="CharStyle3"/>
          <w:smallCaps/>
        </w:rPr>
        <w:t>A</w:t>
      </w:r>
      <w:r>
        <w:rPr>
          <w:rStyle w:val="CharStyle3"/>
          <w:smallCaps/>
          <w:sz w:val="15"/>
        </w:rPr>
        <w:t xml:space="preserve">ssociated </w:t>
      </w:r>
      <w:r>
        <w:rPr>
          <w:rStyle w:val="CharStyle3"/>
          <w:smallCaps/>
        </w:rPr>
        <w:t>P</w:t>
      </w:r>
      <w:r>
        <w:rPr>
          <w:rStyle w:val="CharStyle3"/>
          <w:smallCaps/>
          <w:sz w:val="15"/>
        </w:rPr>
        <w:t>ress</w:t>
      </w:r>
      <w:r>
        <w:rPr>
          <w:rStyle w:val="CharStyle3"/>
        </w:rPr>
        <w:t xml:space="preserve"> (12 octobre 2022); Rebecca Jack, et. al., Pandemic Schooling Mode and Student Test Scores: Preuves provenant des districts scolaires américains, NBER W</w:t>
      </w:r>
      <w:r>
        <w:rPr>
          <w:rStyle w:val="CharStyle3"/>
          <w:sz w:val="16"/>
        </w:rPr>
        <w:t xml:space="preserve">ORKING </w:t>
      </w:r>
      <w:r>
        <w:rPr>
          <w:rStyle w:val="CharStyle3"/>
        </w:rPr>
        <w:t>P</w:t>
      </w:r>
      <w:r>
        <w:rPr>
          <w:rStyle w:val="CharStyle3"/>
          <w:sz w:val="16"/>
        </w:rPr>
        <w:t xml:space="preserve">APER </w:t>
      </w:r>
      <w:r>
        <w:rPr>
          <w:rStyle w:val="CharStyle3"/>
        </w:rPr>
        <w:t>S</w:t>
      </w:r>
      <w:r>
        <w:rPr>
          <w:rStyle w:val="CharStyle3"/>
          <w:sz w:val="16"/>
        </w:rPr>
        <w:t xml:space="preserve">ERIES </w:t>
      </w:r>
      <w:r>
        <w:rPr>
          <w:rStyle w:val="CharStyle3"/>
        </w:rPr>
        <w:t xml:space="preserve">(26 avril 2022).</w:t>
      </w:r>
    </w:p>
  </w:footnote>
  <w:footnote w:id="29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29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Leonhardt, David, Not Good for Learning,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rPr>
        <w:t xml:space="preserve"> (5 mai 2022).</w:t>
      </w:r>
    </w:p>
  </w:footnote>
  <w:footnote w:id="299">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30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0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0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Sarah Schwartz, Students Aren’t Rebounding From the Academic Effects of the Pandemic, </w:t>
      </w:r>
      <w:r>
        <w:rPr>
          <w:rStyle w:val="CharStyle3"/>
          <w:smallCaps/>
        </w:rPr>
        <w:t>E</w:t>
      </w:r>
      <w:r>
        <w:rPr>
          <w:rStyle w:val="CharStyle3"/>
          <w:smallCaps/>
          <w:sz w:val="15"/>
        </w:rPr>
        <w:t xml:space="preserve">ducation </w:t>
      </w:r>
      <w:r>
        <w:rPr>
          <w:rStyle w:val="CharStyle3"/>
          <w:smallCaps/>
        </w:rPr>
        <w:t>W</w:t>
      </w:r>
      <w:r>
        <w:rPr>
          <w:rStyle w:val="CharStyle3"/>
          <w:smallCaps/>
          <w:sz w:val="15"/>
        </w:rPr>
        <w:t xml:space="preserve">eek </w:t>
      </w:r>
      <w:r>
        <w:rPr>
          <w:rStyle w:val="CharStyle3"/>
        </w:rPr>
        <w:t xml:space="preserve">(11 juillet 2023).</w:t>
      </w:r>
    </w:p>
  </w:footnote>
  <w:footnote w:id="303">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0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Jason L. Riley, School Choice a fait de gros gains pendant la pandémie de Covid, </w:t>
      </w:r>
      <w:r>
        <w:rPr>
          <w:rStyle w:val="CharStyle3"/>
          <w:smallCaps/>
        </w:rPr>
        <w:t>T</w:t>
      </w:r>
      <w:r>
        <w:rPr>
          <w:rStyle w:val="CharStyle3"/>
          <w:smallCaps/>
          <w:sz w:val="15"/>
        </w:rPr>
        <w:t xml:space="preserve">he </w:t>
      </w:r>
      <w:r>
        <w:rPr>
          <w:rStyle w:val="CharStyle3"/>
          <w:smallCaps/>
        </w:rPr>
        <w:t>W</w:t>
      </w:r>
      <w:r>
        <w:rPr>
          <w:rStyle w:val="CharStyle3"/>
          <w:smallCaps/>
          <w:sz w:val="15"/>
        </w:rPr>
        <w:t xml:space="preserve">all </w:t>
      </w:r>
      <w:r>
        <w:rPr>
          <w:rStyle w:val="CharStyle3"/>
          <w:smallCaps/>
        </w:rPr>
        <w:t>S</w:t>
      </w:r>
      <w:r>
        <w:rPr>
          <w:rStyle w:val="CharStyle3"/>
          <w:smallCaps/>
          <w:sz w:val="15"/>
        </w:rPr>
        <w:t xml:space="preserve">treet </w:t>
      </w:r>
      <w:r>
        <w:rPr>
          <w:rStyle w:val="CharStyle3"/>
          <w:smallCaps/>
        </w:rPr>
        <w:t>J</w:t>
      </w:r>
      <w:r>
        <w:rPr>
          <w:rStyle w:val="CharStyle3"/>
          <w:smallCaps/>
          <w:sz w:val="15"/>
        </w:rPr>
        <w:t>ournal</w:t>
      </w:r>
      <w:r>
        <w:rPr>
          <w:rStyle w:val="CharStyle3"/>
        </w:rPr>
        <w:t xml:space="preserve"> (nov.</w:t>
      </w:r>
    </w:p>
    <w:p>
      <w:pPr>
        <w:pStyle w:val="Style2"/>
        <w:keepNext w:val="0"/>
        <w:keepLines w:val="0"/>
        <w:widowControl w:val="0"/>
        <w:shd w:val="clear" w:color="auto" w:fill="auto"/>
        <w:spacing w:before="0" w:after="0" w:line="240" w:lineRule="auto"/>
        <w:ind w:left="0" w:right="0" w:firstLine="0"/>
        <w:jc w:val="left"/>
      </w:pPr>
      <w:r>
        <w:rPr>
          <w:rStyle w:val="CharStyle3"/>
        </w:rPr>
        <w:t xml:space="preserve">22, 2022).</w:t>
      </w:r>
    </w:p>
  </w:footnote>
  <w:footnote w:id="30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Bianca Vazquez Toness &amp; Sharon Lurye, Des milliers d'enfants sont portés disparus de l'école. Où sont-ils allés?, </w:t>
      </w:r>
      <w:r>
        <w:rPr>
          <w:rStyle w:val="CharStyle3"/>
          <w:smallCaps/>
          <w:sz w:val="15"/>
        </w:rPr>
        <w:t xml:space="preserve">A ssociated </w:t>
      </w:r>
      <w:r>
        <w:rPr>
          <w:rStyle w:val="CharStyle3"/>
          <w:smallCaps/>
        </w:rPr>
        <w:t>P</w:t>
      </w:r>
      <w:r>
        <w:rPr>
          <w:rStyle w:val="CharStyle3"/>
          <w:smallCaps/>
          <w:sz w:val="15"/>
        </w:rPr>
        <w:t>ress</w:t>
      </w:r>
      <w:r>
        <w:rPr>
          <w:rStyle w:val="CharStyle3"/>
        </w:rPr>
        <w:t xml:space="preserve"> (9 février 2023); Thomas S. Dee, Où les enfants sont allés: Nonpublic Schooling and Demographic Change during the Pandemic Exodus from Public Schools (Scolarisation non publique et évolution démographique pendant l’exode pandémique des écoles publiques), U</w:t>
      </w:r>
      <w:r>
        <w:rPr>
          <w:rStyle w:val="CharStyle3"/>
          <w:sz w:val="16"/>
        </w:rPr>
        <w:t xml:space="preserve">RBAN </w:t>
      </w:r>
      <w:r>
        <w:rPr>
          <w:rStyle w:val="CharStyle3"/>
        </w:rPr>
        <w:t xml:space="preserve">(9 février 2023).</w:t>
      </w:r>
    </w:p>
  </w:footnote>
  <w:footnote w:id="30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Emily Baumgaertner, Students Lost One-Third of a School Year to Pandemic, Study Finds,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rPr>
        <w:t xml:space="preserve"> (Jan.</w:t>
      </w:r>
    </w:p>
    <w:p>
      <w:pPr>
        <w:pStyle w:val="Style2"/>
        <w:keepNext w:val="0"/>
        <w:keepLines w:val="0"/>
        <w:widowControl w:val="0"/>
        <w:shd w:val="clear" w:color="auto" w:fill="auto"/>
        <w:spacing w:before="0" w:after="0" w:line="240" w:lineRule="auto"/>
        <w:ind w:left="0" w:right="0" w:firstLine="0"/>
        <w:jc w:val="left"/>
      </w:pPr>
      <w:r>
        <w:rPr>
          <w:rStyle w:val="CharStyle3"/>
        </w:rPr>
        <w:t xml:space="preserve">30 décembre 2023; Eric A. Hanushek, Le coût économique de la pandémie: État par État, </w:t>
      </w:r>
      <w:r>
        <w:rPr>
          <w:rStyle w:val="CharStyle3"/>
          <w:smallCaps/>
        </w:rPr>
        <w:t>H</w:t>
      </w:r>
      <w:r>
        <w:rPr>
          <w:rStyle w:val="CharStyle3"/>
          <w:smallCaps/>
          <w:sz w:val="15"/>
        </w:rPr>
        <w:t xml:space="preserve">oover </w:t>
      </w:r>
      <w:r>
        <w:rPr>
          <w:rStyle w:val="CharStyle3"/>
          <w:smallCaps/>
        </w:rPr>
        <w:t>E</w:t>
      </w:r>
      <w:r>
        <w:rPr>
          <w:rStyle w:val="CharStyle3"/>
          <w:smallCaps/>
          <w:sz w:val="15"/>
        </w:rPr>
        <w:t xml:space="preserve">ducation </w:t>
      </w:r>
      <w:r>
        <w:rPr>
          <w:rStyle w:val="CharStyle3"/>
          <w:smallCaps/>
        </w:rPr>
        <w:t>S</w:t>
      </w:r>
      <w:r>
        <w:rPr>
          <w:rStyle w:val="CharStyle3"/>
          <w:smallCaps/>
          <w:sz w:val="15"/>
        </w:rPr>
        <w:t xml:space="preserve">uccess </w:t>
      </w:r>
      <w:r>
        <w:rPr>
          <w:rStyle w:val="CharStyle3"/>
          <w:smallCaps/>
        </w:rPr>
        <w:t>I</w:t>
      </w:r>
      <w:r>
        <w:rPr>
          <w:rStyle w:val="CharStyle3"/>
          <w:smallCaps/>
          <w:sz w:val="15"/>
        </w:rPr>
        <w:t>nitiative</w:t>
      </w:r>
      <w:r>
        <w:rPr>
          <w:rStyle w:val="CharStyle3"/>
        </w:rPr>
        <w:t xml:space="preserve"> (2023).</w:t>
      </w:r>
    </w:p>
  </w:footnote>
  <w:footnote w:id="30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08">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0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Tracy Hoeg, et al., «Notre prochaine priorité nationale devrait être de rouvrir toutes les écoles américaines pour un apprentissage en présentiel à temps plein», T</w:t>
      </w:r>
      <w:r>
        <w:rPr>
          <w:rStyle w:val="CharStyle3"/>
          <w:sz w:val="16"/>
        </w:rPr>
        <w:t xml:space="preserve">HE </w:t>
      </w:r>
      <w:r>
        <w:rPr>
          <w:rStyle w:val="CharStyle3"/>
        </w:rPr>
        <w:t>H</w:t>
      </w:r>
      <w:r>
        <w:rPr>
          <w:rStyle w:val="CharStyle3"/>
          <w:sz w:val="16"/>
        </w:rPr>
        <w:t xml:space="preserve">ILL </w:t>
      </w:r>
      <w:r>
        <w:rPr>
          <w:rStyle w:val="CharStyle3"/>
        </w:rPr>
        <w:t xml:space="preserve">(20 mars 2021).</w:t>
      </w:r>
    </w:p>
  </w:footnote>
  <w:footnote w:id="31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Joyce Lee, Effets sur la santé mentale des fermetures d’écoles pendant la COVID-19, </w:t>
      </w:r>
      <w:r>
        <w:rPr>
          <w:rStyle w:val="CharStyle3"/>
          <w:smallCaps/>
        </w:rPr>
        <w:t>T</w:t>
      </w:r>
      <w:r>
        <w:rPr>
          <w:rStyle w:val="CharStyle3"/>
          <w:smallCaps/>
          <w:sz w:val="15"/>
        </w:rPr>
        <w:t xml:space="preserve">he </w:t>
      </w:r>
      <w:r>
        <w:rPr>
          <w:rStyle w:val="CharStyle3"/>
          <w:smallCaps/>
        </w:rPr>
        <w:t>L</w:t>
      </w:r>
      <w:r>
        <w:rPr>
          <w:rStyle w:val="CharStyle3"/>
          <w:smallCaps/>
          <w:sz w:val="15"/>
        </w:rPr>
        <w:t>ancet</w:t>
      </w:r>
      <w:r>
        <w:rPr>
          <w:rStyle w:val="CharStyle3"/>
        </w:rPr>
        <w:t xml:space="preserve"> (juin 2020).</w:t>
      </w:r>
    </w:p>
  </w:footnote>
  <w:footnote w:id="31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Tracy Hoeg, et al., «Notre prochaine priorité nationale devrait être de rouvrir toutes les écoles américaines pour un apprentissage en présentiel à temps plein», T</w:t>
      </w:r>
      <w:r>
        <w:rPr>
          <w:rStyle w:val="CharStyle3"/>
          <w:sz w:val="16"/>
        </w:rPr>
        <w:t xml:space="preserve">HE </w:t>
      </w:r>
      <w:r>
        <w:rPr>
          <w:rStyle w:val="CharStyle3"/>
        </w:rPr>
        <w:t>H</w:t>
      </w:r>
      <w:r>
        <w:rPr>
          <w:rStyle w:val="CharStyle3"/>
          <w:sz w:val="16"/>
        </w:rPr>
        <w:t xml:space="preserve">ILL </w:t>
      </w:r>
      <w:r>
        <w:rPr>
          <w:rStyle w:val="CharStyle3"/>
        </w:rPr>
        <w:t xml:space="preserve">(20 mars 2021).</w:t>
      </w:r>
    </w:p>
  </w:footnote>
  <w:footnote w:id="31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Erica Green, Administration Offers Guidance to Schools as They Shut Down on Their Own, </w:t>
      </w:r>
      <w:r>
        <w:rPr>
          <w:rStyle w:val="CharStyle3"/>
          <w:smallCaps/>
        </w:rPr>
        <w:t>T</w:t>
      </w:r>
      <w:r>
        <w:rPr>
          <w:rStyle w:val="CharStyle3"/>
          <w:smallCaps/>
          <w:sz w:val="15"/>
        </w:rPr>
        <w:t>he</w:t>
      </w:r>
      <w:r>
        <w:rPr>
          <w:rStyle w:val="CharStyle3"/>
        </w:rPr>
        <w:t xml:space="preserve"> N.Y. </w:t>
      </w:r>
      <w:r>
        <w:rPr>
          <w:rStyle w:val="CharStyle3"/>
          <w:smallCaps/>
        </w:rPr>
        <w:t>T</w:t>
      </w:r>
      <w:r>
        <w:rPr>
          <w:rStyle w:val="CharStyle3"/>
          <w:smallCaps/>
          <w:sz w:val="15"/>
        </w:rPr>
        <w:t>imes</w:t>
      </w:r>
      <w:r>
        <w:rPr>
          <w:rStyle w:val="CharStyle3"/>
          <w:smallCaps/>
        </w:rPr>
        <w:t xml:space="preserve"> (13 </w:t>
      </w:r>
      <w:r>
        <w:rPr>
          <w:rStyle w:val="CharStyle3"/>
        </w:rPr>
        <w:t xml:space="preserve">mars 2020); Voir, Communiqué de presse, U.S. Ctrs. for Disease Control &amp; Prevention, Les nouvelles données des CDC mettent en lumière les menaces pour la santé mentale des jeunes pendant la pandémie de COVID-19 (31 mars 2022).</w:t>
      </w:r>
    </w:p>
  </w:footnote>
  <w:footnote w:id="313">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1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Chopra, Deepti et al., Prévalence de l’anxiété et de l’automédication autodéclarées dans les couches socio-économiques supérieures et moyennes au milieu de la pandémie</w:t>
      </w:r>
      <w:r>
        <w:rPr>
          <w:rStyle w:val="CharStyle3"/>
          <w:sz w:val="16"/>
        </w:rPr>
        <w:t xml:space="preserve">de COVID-19, J OURNAL OF </w:t>
      </w:r>
      <w:r>
        <w:rPr>
          <w:rStyle w:val="CharStyle3"/>
        </w:rPr>
        <w:t>E</w:t>
      </w:r>
      <w:r>
        <w:rPr>
          <w:rStyle w:val="CharStyle3"/>
          <w:sz w:val="16"/>
        </w:rPr>
        <w:t xml:space="preserve">DUCATION AND </w:t>
      </w:r>
      <w:r>
        <w:rPr>
          <w:rStyle w:val="CharStyle3"/>
        </w:rPr>
        <w:t>H</w:t>
      </w:r>
      <w:r>
        <w:rPr>
          <w:rStyle w:val="CharStyle3"/>
          <w:sz w:val="16"/>
        </w:rPr>
        <w:t xml:space="preserve">EALTH </w:t>
      </w:r>
      <w:r>
        <w:rPr>
          <w:rStyle w:val="CharStyle3"/>
        </w:rPr>
        <w:t>P</w:t>
      </w:r>
      <w:r>
        <w:rPr>
          <w:rStyle w:val="CharStyle3"/>
          <w:sz w:val="16"/>
        </w:rPr>
        <w:t xml:space="preserve">ROMOTION </w:t>
      </w:r>
      <w:r>
        <w:rPr>
          <w:rStyle w:val="CharStyle3"/>
        </w:rPr>
        <w:t xml:space="preserve">(27 février 2021).</w:t>
      </w:r>
    </w:p>
  </w:footnote>
  <w:footnote w:id="315">
    <w:p>
      <w:pPr>
        <w:pStyle w:val="Style2"/>
        <w:keepNext w:val="0"/>
        <w:keepLines w:val="0"/>
        <w:widowControl w:val="0"/>
        <w:shd w:val="clear" w:color="auto" w:fill="auto"/>
        <w:spacing w:before="0" w:after="0" w:line="240" w:lineRule="auto"/>
        <w:ind w:left="0" w:right="0" w:firstLine="0"/>
        <w:jc w:val="left"/>
      </w:pPr>
      <w:r>
        <w:rPr>
          <w:rStyle w:val="CharStyle3"/>
        </w:rPr>
        <w:t xml:space="preserve">Communiqué de</w:t>
        <w:footnoteRef/>
        <w:t xml:space="preserve"> presse, U.S. Surgeon General Issues Advisory on Youth Mental Health Crisis Further Exposed by COVID-19 Pandemic, U.S. Dep’t of Health &amp; Human Servs. (déc.7, 2021); Communiqué de presse, American Academy of Pediatrics, AAP-AACAP-CHA Declaration of a National Emergency in Child and Adolescent Mental Health (19 octobre 2021).</w:t>
      </w:r>
    </w:p>
  </w:footnote>
  <w:footnote w:id="31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Gretchen Vogel, Pandemic school closures were particular hard on the mental health of young, more vulnerable children (Les fermetures d’écoles liées à la pandémie ont été particulièrement difficiles pour la santé mentale des enfants plus jeunes et plus vulnérables), S</w:t>
      </w:r>
      <w:r>
        <w:rPr>
          <w:rStyle w:val="CharStyle3"/>
          <w:sz w:val="16"/>
        </w:rPr>
        <w:t>CIENCE</w:t>
      </w:r>
      <w:r>
        <w:rPr>
          <w:rStyle w:val="CharStyle3"/>
          <w:sz w:val="16"/>
        </w:rPr>
        <w:t xml:space="preserve">. ORG </w:t>
      </w:r>
      <w:r>
        <w:rPr>
          <w:rStyle w:val="CharStyle3"/>
        </w:rPr>
        <w:t xml:space="preserve">(18 août 2023); citant Christina Felfe, et al., The youth mental health crisis: Preuves quasi expérimentales sur le rôle des fermetures d’écoles, S</w:t>
      </w:r>
      <w:r>
        <w:rPr>
          <w:rStyle w:val="CharStyle3"/>
          <w:sz w:val="16"/>
        </w:rPr>
        <w:t xml:space="preserve">CIENCE </w:t>
      </w:r>
      <w:r>
        <w:rPr>
          <w:rStyle w:val="CharStyle3"/>
        </w:rPr>
        <w:t>A</w:t>
      </w:r>
      <w:r>
        <w:rPr>
          <w:rStyle w:val="CharStyle3"/>
          <w:sz w:val="16"/>
        </w:rPr>
        <w:t xml:space="preserve">DVANCES </w:t>
      </w:r>
      <w:r>
        <w:rPr>
          <w:rStyle w:val="CharStyle3"/>
        </w:rPr>
        <w:t xml:space="preserve">(18 août 2023).</w:t>
      </w:r>
    </w:p>
  </w:footnote>
  <w:footnote w:id="317">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1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Andrew Rundle, et al., COVID-19—Related School Closings and Risk of Weight Gain Among Children, </w:t>
      </w:r>
      <w:r>
        <w:rPr>
          <w:rStyle w:val="CharStyle3"/>
          <w:smallCaps/>
        </w:rPr>
        <w:t>T</w:t>
      </w:r>
      <w:r>
        <w:rPr>
          <w:rStyle w:val="CharStyle3"/>
          <w:smallCaps/>
          <w:sz w:val="15"/>
        </w:rPr>
        <w:t xml:space="preserve">he </w:t>
      </w:r>
      <w:r>
        <w:rPr>
          <w:rStyle w:val="CharStyle3"/>
          <w:smallCaps/>
        </w:rPr>
        <w:t>O</w:t>
      </w:r>
      <w:r>
        <w:rPr>
          <w:rStyle w:val="CharStyle3"/>
          <w:smallCaps/>
          <w:sz w:val="15"/>
        </w:rPr>
        <w:t xml:space="preserve">besity </w:t>
      </w:r>
      <w:r>
        <w:rPr>
          <w:rStyle w:val="CharStyle3"/>
          <w:smallCaps/>
        </w:rPr>
        <w:t>S</w:t>
      </w:r>
      <w:r>
        <w:rPr>
          <w:rStyle w:val="CharStyle3"/>
          <w:smallCaps/>
          <w:sz w:val="15"/>
        </w:rPr>
        <w:t>ociety</w:t>
      </w:r>
      <w:r>
        <w:rPr>
          <w:rStyle w:val="CharStyle3"/>
          <w:smallCaps/>
        </w:rPr>
        <w:t>,</w:t>
      </w:r>
      <w:r>
        <w:rPr>
          <w:rStyle w:val="CharStyle3"/>
        </w:rPr>
        <w:t xml:space="preserve"> (30 mars 2020).</w:t>
      </w:r>
    </w:p>
  </w:footnote>
  <w:footnote w:id="31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Jennifer Nuzzo, We Don’t Need to Close Schools to Fight the Coronavirus, T</w:t>
      </w:r>
      <w:r>
        <w:rPr>
          <w:rStyle w:val="CharStyle3"/>
          <w:sz w:val="16"/>
        </w:rPr>
        <w:t xml:space="preserve">HE </w:t>
      </w:r>
      <w:r>
        <w:rPr>
          <w:rStyle w:val="CharStyle3"/>
        </w:rPr>
        <w:t xml:space="preserve">N.Y. T</w:t>
      </w:r>
      <w:r>
        <w:rPr>
          <w:rStyle w:val="CharStyle3"/>
          <w:sz w:val="16"/>
        </w:rPr>
        <w:t xml:space="preserve">IMES </w:t>
      </w:r>
      <w:r>
        <w:rPr>
          <w:rStyle w:val="CharStyle3"/>
        </w:rPr>
        <w:t xml:space="preserve">(10 mars 2020).</w:t>
      </w:r>
    </w:p>
  </w:footnote>
  <w:footnote w:id="32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Paulo Puccinelli, et al., Réduire le niveau d’activité physique pendant la pandémie de COVID-19 est associé à des niveaux de dépression et d’anxiété: une enquête sur l’internet, BMC P</w:t>
      </w:r>
      <w:r>
        <w:rPr>
          <w:rStyle w:val="CharStyle3"/>
          <w:sz w:val="16"/>
        </w:rPr>
        <w:t xml:space="preserve">UBLIC </w:t>
      </w:r>
      <w:r>
        <w:rPr>
          <w:rStyle w:val="CharStyle3"/>
        </w:rPr>
        <w:t>H</w:t>
      </w:r>
      <w:r>
        <w:rPr>
          <w:rStyle w:val="CharStyle3"/>
          <w:sz w:val="16"/>
        </w:rPr>
        <w:t xml:space="preserve">EALTH </w:t>
      </w:r>
      <w:r>
        <w:rPr>
          <w:rStyle w:val="CharStyle3"/>
        </w:rPr>
        <w:t xml:space="preserve">(1er mars 2021); D.S. Burstein, Cardiopulmonary Exercise Performance in the Pediatric and Young Adult Population Before and During the COVID-19 Pandemic, P</w:t>
      </w:r>
      <w:r>
        <w:rPr>
          <w:rStyle w:val="CharStyle3"/>
          <w:sz w:val="16"/>
        </w:rPr>
        <w:t xml:space="preserve">EDIATRIC </w:t>
      </w:r>
      <w:r>
        <w:rPr>
          <w:rStyle w:val="CharStyle3"/>
        </w:rPr>
        <w:t>C</w:t>
      </w:r>
      <w:r>
        <w:rPr>
          <w:rStyle w:val="CharStyle3"/>
          <w:sz w:val="16"/>
        </w:rPr>
        <w:t xml:space="preserve">ARDIOLOGY </w:t>
      </w:r>
      <w:r>
        <w:rPr>
          <w:rStyle w:val="CharStyle3"/>
        </w:rPr>
        <w:t xml:space="preserve">(3 mai 2022).</w:t>
      </w:r>
    </w:p>
  </w:footnote>
  <w:footnote w:id="32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Communiqué de presse, Ctrs. Pour le contrôle et la prévention des maladies, Tendances longitudinales de l’indice de masse corporelle avant et pendant la pandémie de COVID-19 chez les personnes âgées de 2 à 19 ans – États-Unis, 2018-2020, MMWR Morb Mortal Wkly Rep, (17 septembre 2021).</w:t>
      </w:r>
    </w:p>
  </w:footnote>
  <w:footnote w:id="32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Brynn Marks et al., Increase in the Diagnosis and Severity of Presentation of Pediatric Type 1 and Type 2 Diabetes during the COVID-19 Pandemic, H</w:t>
      </w:r>
      <w:r>
        <w:rPr>
          <w:rStyle w:val="CharStyle3"/>
          <w:sz w:val="16"/>
        </w:rPr>
        <w:t xml:space="preserve">ORMONE </w:t>
      </w:r>
      <w:r>
        <w:rPr>
          <w:rStyle w:val="CharStyle3"/>
        </w:rPr>
        <w:t>R</w:t>
      </w:r>
      <w:r>
        <w:rPr>
          <w:rStyle w:val="CharStyle3"/>
          <w:sz w:val="16"/>
        </w:rPr>
        <w:t xml:space="preserve">ESEARCH IN </w:t>
      </w:r>
      <w:r>
        <w:rPr>
          <w:rStyle w:val="CharStyle3"/>
        </w:rPr>
        <w:t>P</w:t>
      </w:r>
      <w:r>
        <w:rPr>
          <w:rStyle w:val="CharStyle3"/>
          <w:sz w:val="16"/>
        </w:rPr>
        <w:t xml:space="preserve">EDIATRICS </w:t>
      </w:r>
      <w:r>
        <w:rPr>
          <w:rStyle w:val="CharStyle3"/>
        </w:rPr>
        <w:t xml:space="preserve">(24 septembre 2021).</w:t>
      </w:r>
    </w:p>
  </w:footnote>
  <w:footnote w:id="323">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2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Sandeep Tripathi et al., The Impact of Obesity on Disease Severity and Outcomes Among Hospitalized Children With COVID-19, A</w:t>
      </w:r>
      <w:r>
        <w:rPr>
          <w:rStyle w:val="CharStyle3"/>
          <w:sz w:val="16"/>
        </w:rPr>
        <w:t xml:space="preserve">MERICAN </w:t>
      </w:r>
      <w:r>
        <w:rPr>
          <w:rStyle w:val="CharStyle3"/>
        </w:rPr>
        <w:t>A</w:t>
      </w:r>
      <w:r>
        <w:rPr>
          <w:rStyle w:val="CharStyle3"/>
          <w:sz w:val="16"/>
        </w:rPr>
        <w:t xml:space="preserve">CADEMY OF </w:t>
      </w:r>
      <w:r>
        <w:rPr>
          <w:rStyle w:val="CharStyle3"/>
        </w:rPr>
        <w:t>P</w:t>
      </w:r>
      <w:r>
        <w:rPr>
          <w:rStyle w:val="CharStyle3"/>
          <w:sz w:val="16"/>
        </w:rPr>
        <w:t xml:space="preserve">EDIATRICS </w:t>
      </w:r>
      <w:r>
        <w:rPr>
          <w:rStyle w:val="CharStyle3"/>
        </w:rPr>
        <w:t xml:space="preserve">(1er novembre 2021); Lyudmyla Kompaniyets, et al., Underlying Medical Conditions Associated With Severe COVID-19 Illness Among Children, JAMA N</w:t>
      </w:r>
      <w:r>
        <w:rPr>
          <w:rStyle w:val="CharStyle3"/>
          <w:sz w:val="16"/>
        </w:rPr>
        <w:t xml:space="preserve">ETWORK </w:t>
      </w:r>
      <w:r>
        <w:rPr>
          <w:rStyle w:val="CharStyle3"/>
        </w:rPr>
        <w:t xml:space="preserve">(7 juin 2021).</w:t>
      </w:r>
    </w:p>
  </w:footnote>
  <w:footnote w:id="32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Brynn Marks et al., Increase in the Diagnosis and Severity of Presentation of Pediatric Type 1 and Type 2 Diabetes during the COVID-19 Pandemic, H</w:t>
      </w:r>
      <w:r>
        <w:rPr>
          <w:rStyle w:val="CharStyle3"/>
          <w:sz w:val="16"/>
        </w:rPr>
        <w:t xml:space="preserve">ORMONE </w:t>
      </w:r>
      <w:r>
        <w:rPr>
          <w:rStyle w:val="CharStyle3"/>
        </w:rPr>
        <w:t>R</w:t>
      </w:r>
      <w:r>
        <w:rPr>
          <w:rStyle w:val="CharStyle3"/>
          <w:sz w:val="16"/>
        </w:rPr>
        <w:t xml:space="preserve">ESEARCH IN </w:t>
      </w:r>
      <w:r>
        <w:rPr>
          <w:rStyle w:val="CharStyle3"/>
        </w:rPr>
        <w:t>P</w:t>
      </w:r>
      <w:r>
        <w:rPr>
          <w:rStyle w:val="CharStyle3"/>
          <w:sz w:val="16"/>
        </w:rPr>
        <w:t xml:space="preserve">EDIATRICS </w:t>
      </w:r>
      <w:r>
        <w:rPr>
          <w:rStyle w:val="CharStyle3"/>
        </w:rPr>
        <w:t xml:space="preserve">(24 septembre 2021).</w:t>
      </w:r>
    </w:p>
  </w:footnote>
  <w:footnote w:id="32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Russell Viner et coll., Impacts des fermetures d'écoles sur la santé physique et mentale des enfants et des jeunes: une revue systématique, </w:t>
      </w:r>
      <w:r>
        <w:rPr>
          <w:rStyle w:val="CharStyle3"/>
          <w:sz w:val="16"/>
        </w:rPr>
        <w:t>MED</w:t>
      </w:r>
      <w:r>
        <w:rPr>
          <w:rStyle w:val="CharStyle3"/>
        </w:rPr>
        <w:t>R</w:t>
      </w:r>
      <w:r>
        <w:rPr>
          <w:rStyle w:val="CharStyle3"/>
          <w:sz w:val="16"/>
        </w:rPr>
        <w:t xml:space="preserve">XIV </w:t>
      </w:r>
      <w:r>
        <w:rPr>
          <w:rStyle w:val="CharStyle3"/>
        </w:rPr>
        <w:t xml:space="preserve">(12 février 2021); Russell Viner et al., School Closures During Social Lockdown and Mental Health, Health Behaviors, and Well-being Among Children and Adolescents During the First COVID-19 Wave, JAMA P</w:t>
      </w:r>
      <w:r>
        <w:rPr>
          <w:rStyle w:val="CharStyle3"/>
          <w:sz w:val="16"/>
        </w:rPr>
        <w:t xml:space="preserve">EDIATRICS </w:t>
      </w:r>
      <w:r>
        <w:rPr>
          <w:rStyle w:val="CharStyle3"/>
        </w:rPr>
        <w:t xml:space="preserve">(18 janvier 2022).</w:t>
      </w:r>
    </w:p>
  </w:footnote>
  <w:footnote w:id="327">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Lettre de Brad Wenstrup, D.P.M., et al., président, Select Subcomm. on the Coronavirus Pandemic, H. Comm. on Oversight &amp; Accountability, à Xavier Becerra, Sec’y, U.S. Dept. of Health &amp; Human Servs., 7 (2 novembre 2023).</w:t>
      </w:r>
    </w:p>
  </w:footnote>
  <w:footnote w:id="328">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Voir, par exemple, lettre de Mme Melanie Anne Egorin, Ass’t Sec’y for Legislation, U.S. Dept. of Health &amp; Human Servs., à M. Brad Wenstrup, et al., Select Subcomm. on the Coronavirus Pandemic, H. Comm. on Oversight &amp; Accountability (8 novembre 2023); Lettre de l'honorable Samuel Bagenstos, général. Conseiller juridique, U.S. Dept. of Health &amp; Human Servs., auprès de Brad Wenstrup, D.P.M., et al., Select Subcomm. on the Coronavirus Pandemic, H. Comm. on Oversight &amp; Accountability (9 novembre 2023).</w:t>
      </w:r>
    </w:p>
  </w:footnote>
  <w:footnote w:id="329">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Superviser le respect du Congrès par le ministère de la santé et des services sociaux: Audition devant le sous-comité de sélection sur la pandémie de coronavirus, 118e Cong. (31 janvier 2024), p. 29 [ci-après l’«audition de surveillance du HHS»].</w:t>
      </w:r>
    </w:p>
  </w:footnote>
  <w:footnote w:id="330">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Voir, par exemple, lettre de M. Brad Wenstrup, D.P.M., président, Select Subcomm. on the Coronavirus Pandemic, H. Comm. on Oversight &amp; Accountability, et. al., à M. Xavier Becerra, Sec’y, U.S. Dept. of Health &amp; Human Servs., aux annexes II &amp; III. (2 novembre 2023).</w:t>
      </w:r>
    </w:p>
  </w:footnote>
  <w:footnote w:id="331">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Lettre de M. Brad Wenstrup, D.P.M., et. al., président, Select Subcomm. on the Coronavirus Pandemic, et. al., à M. David Morens, M.D., conseiller principal, Nat’l Inst. of Allergy &amp; Infectious Diseases, Nat’l Insts. of Health (8 mai 2024).</w:t>
      </w:r>
    </w:p>
  </w:footnote>
  <w:footnote w:id="332">
    <w:p>
      <w:pPr>
        <w:pStyle w:val="Style2"/>
        <w:keepNext w:val="0"/>
        <w:keepLines w:val="0"/>
        <w:widowControl w:val="0"/>
        <w:shd w:val="clear" w:color="auto" w:fill="auto"/>
        <w:spacing w:before="0" w:after="0" w:line="240" w:lineRule="auto"/>
        <w:ind w:left="1440" w:right="0" w:firstLine="0"/>
        <w:jc w:val="left"/>
      </w:pPr>
      <w:r>
        <w:rPr>
          <w:rStyle w:val="CharStyle3"/>
        </w:rPr>
        <w:t xml:space="preserve">Audition de</w:t>
        <w:footnoteRef/>
        <w:t xml:space="preserve"> supervision du HHS, supra, note 2, p. 3 (déclaration de M. Brad Wenstrup, président de Select Subcomm. sur la pandémie de coronavirus, H. Comm. on Oversight &amp; Accountability).</w:t>
      </w:r>
    </w:p>
  </w:footnote>
  <w:footnote w:id="333">
    <w:p>
      <w:pPr>
        <w:pStyle w:val="Style2"/>
        <w:keepNext w:val="0"/>
        <w:keepLines w:val="0"/>
        <w:widowControl w:val="0"/>
        <w:shd w:val="clear" w:color="auto" w:fill="auto"/>
        <w:spacing w:before="0" w:after="0" w:line="240" w:lineRule="auto"/>
        <w:ind w:left="1440" w:right="0" w:firstLine="0"/>
        <w:jc w:val="left"/>
      </w:pPr>
      <w:r>
        <w:rPr>
          <w:rStyle w:val="CharStyle3"/>
        </w:rPr>
        <w:footnoteRef/>
        <w:t xml:space="preserve">Lettre adressée par Melanie Egorin, Ph.D., Ass’t Sec’y for Legislation, U.S. Dept. of Health &amp; Human Servs, à Brad Wenstrup, D.P.M., président, Select Subcomm. on the Coronavirus Pandemic, H. Comm. on Oversight &amp; Accountability et al., 7-8 (1er mars 2024).</w:t>
      </w:r>
    </w:p>
  </w:footnote>
  <w:footnote w:id="334">
    <w:p>
      <w:pPr>
        <w:pStyle w:val="Style2"/>
        <w:keepNext w:val="0"/>
        <w:keepLines w:val="0"/>
        <w:widowControl w:val="0"/>
        <w:shd w:val="clear" w:color="auto" w:fill="auto"/>
        <w:spacing w:before="0" w:after="0" w:line="240" w:lineRule="auto"/>
        <w:ind w:left="1440" w:right="0" w:firstLine="0"/>
        <w:jc w:val="left"/>
      </w:pPr>
      <w:r>
        <w:rPr>
          <w:rStyle w:val="CharStyle3"/>
        </w:rPr>
        <w:footnoteRef/>
        <w:t xml:space="preserve">Id. à 9-10.</w:t>
      </w:r>
    </w:p>
  </w:footnote>
  <w:footnote w:id="335">
    <w:p>
      <w:pPr>
        <w:pStyle w:val="Style2"/>
        <w:keepNext w:val="0"/>
        <w:keepLines w:val="0"/>
        <w:widowControl w:val="0"/>
        <w:shd w:val="clear" w:color="auto" w:fill="auto"/>
        <w:spacing w:before="0" w:after="0" w:line="240" w:lineRule="auto"/>
        <w:ind w:left="1440" w:right="0" w:firstLine="0"/>
        <w:jc w:val="left"/>
      </w:pPr>
      <w:r>
        <w:rPr>
          <w:rStyle w:val="CharStyle3"/>
        </w:rPr>
        <w:footnoteRef/>
        <w:t xml:space="preserve">Voir, par exemple, SSCP_NIH002640 – 2967, où tous les noms de personnes sont expurgés par rapport aux documents obtenus via FOIA par Judicial Watch, Inc., où les noms ne sont, dans une large mesure, pas expurgés.</w:t>
      </w:r>
    </w:p>
  </w:footnote>
  <w:footnote w:id="336">
    <w:p>
      <w:pPr>
        <w:pStyle w:val="Style2"/>
        <w:keepNext w:val="0"/>
        <w:keepLines w:val="0"/>
        <w:widowControl w:val="0"/>
        <w:shd w:val="clear" w:color="auto" w:fill="auto"/>
        <w:spacing w:before="0" w:after="0" w:line="240" w:lineRule="auto"/>
        <w:ind w:left="1440" w:right="0" w:firstLine="0"/>
        <w:jc w:val="left"/>
      </w:pPr>
      <w:r>
        <w:rPr>
          <w:rStyle w:val="CharStyle3"/>
        </w:rPr>
        <w:footnoteRef/>
        <w:t xml:space="preserve">5 U.S.C. Sec. 552, point d).</w:t>
      </w:r>
    </w:p>
  </w:footnote>
  <w:footnote w:id="337">
    <w:p>
      <w:pPr>
        <w:pStyle w:val="Style2"/>
        <w:keepNext w:val="0"/>
        <w:keepLines w:val="0"/>
        <w:widowControl w:val="0"/>
        <w:shd w:val="clear" w:color="auto" w:fill="auto"/>
        <w:spacing w:before="0" w:after="0" w:line="240" w:lineRule="auto"/>
        <w:ind w:left="1440" w:right="0" w:firstLine="0"/>
        <w:jc w:val="left"/>
      </w:pPr>
      <w:r>
        <w:rPr>
          <w:rStyle w:val="CharStyle3"/>
        </w:rPr>
        <w:footnoteRef/>
        <w:t xml:space="preserve">S. Rep. n° 813 (4 octobre 1965).</w:t>
      </w:r>
    </w:p>
  </w:footnote>
  <w:footnote w:id="33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personnel du ministère de la Santé des États-Unis &amp; Human Servs. au personnel, Select Subcomm. sur la pandémie de coronavirus (27 juin 2023).</w:t>
      </w:r>
    </w:p>
  </w:footnote>
  <w:footnote w:id="33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E-Mail à partir de Select Subcomm. Personnel au personnel, U.S. Dept. of Health &amp; Human Servs. (27 juin 2023).</w:t>
      </w:r>
    </w:p>
  </w:footnote>
  <w:footnote w:id="340">
    <w:p>
      <w:pPr>
        <w:pStyle w:val="Style2"/>
        <w:keepNext w:val="0"/>
        <w:keepLines w:val="0"/>
        <w:widowControl w:val="0"/>
        <w:shd w:val="clear" w:color="auto" w:fill="auto"/>
        <w:spacing w:before="0" w:after="0" w:line="240" w:lineRule="auto"/>
        <w:ind w:left="0" w:right="0" w:firstLine="0"/>
        <w:jc w:val="both"/>
      </w:pPr>
      <w:r>
        <w:rPr>
          <w:rStyle w:val="CharStyle3"/>
        </w:rPr>
        <w:footnoteRef/>
        <w:t xml:space="preserve">Lettre de Brad Wenstrup, D.P.M., président, Select Subcomm. on the Coronavirus Pandemic, H. Comm. on Oversight &amp; Accountability, et. al., à Xavier Becerra, Sec’y, U.S. Dept. of Health &amp; Human Servs. (2 novembre 2023).</w:t>
      </w:r>
    </w:p>
  </w:footnote>
  <w:footnote w:id="34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34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M. Brad Wenstrup, et. al., président, Select Subcomm. on the Coronavirus Pandemic, H. Comm. on Oversight &amp; Accountability (13 février 2023).</w:t>
      </w:r>
    </w:p>
  </w:footnote>
  <w:footnote w:id="34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Mme Melanie Egorin, secrétaire adjointe à la législation, département américain de la santé et des services humains, à M. Michael Lauer, M.D., directeur adjoint de la recherche extra-muros, Nat’l Insts. of Health (1er novembre 2023).</w:t>
      </w:r>
    </w:p>
    <w:p>
      <w:pPr>
        <w:pStyle w:val="Style2"/>
        <w:keepNext w:val="0"/>
        <w:keepLines w:val="0"/>
        <w:widowControl w:val="0"/>
        <w:shd w:val="clear" w:color="auto" w:fill="auto"/>
        <w:spacing w:before="0" w:after="0" w:line="262" w:lineRule="auto"/>
        <w:ind w:left="0" w:right="0" w:firstLine="740"/>
        <w:jc w:val="left"/>
        <w:rPr>
          <w:sz w:val="22"/>
        </w:rPr>
      </w:pPr>
      <w:r>
        <w:rPr>
          <w:rStyle w:val="CharStyle3"/>
          <w:sz w:val="22"/>
        </w:rPr>
        <w:t xml:space="preserve">Deuxièmement, pour le premier entretien du sous-comité restreint avec le Dr Morens, HHS a demandé au Dr Morens de répondre uniquement aux questions concernant son utilisation du courrier électronique personnel, et non à des questions de fond concernant les origines de la COVID-19 ou son travail en tant que conseiller scientifique principal du Dr.</w:t>
      </w:r>
    </w:p>
  </w:footnote>
  <w:footnote w:id="344">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Voir en général, Morens TI 1.</w:t>
      </w:r>
    </w:p>
  </w:footnote>
  <w:footnote w:id="34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Brad Wenstrup, D.P.M., président, Select Subcomm. on the Coronavirus Pandemic, H. Comm. on Oversight &amp; Accountability, et al., à Xavier Becerra, Sec’y, U.S. Dept. of Health &amp; Human Servs. (13 février 2023).</w:t>
      </w:r>
    </w:p>
  </w:footnote>
  <w:footnote w:id="34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Brad Wenstrup, D.P.M., président, Select Subcomm. on the Coronavirus Pandemic, H. Comm. on Oversight &amp; Accountability, et. al., à Xavier Becerra, Sec’y, U.S. Dept. of Health &amp; Human Servs. (juin. 29, 2023).</w:t>
      </w:r>
    </w:p>
  </w:footnote>
  <w:footnote w:id="34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Mme Melanie Anne Egorin, Ass’t Sec’y for Legislation, U.S. Dept. of Health &amp; Human Servs., au Dr David Morens, M.D., conseiller scientifique principal, Nat’l Inst. of Allergy &amp; Infectious Diseases, Nat’l Insts. of Health (28 décembre 2023).</w:t>
      </w:r>
    </w:p>
  </w:footnote>
  <w:footnote w:id="348">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Morens TI 1, à 13-15.</w:t>
      </w:r>
    </w:p>
  </w:footnote>
  <w:footnote w:id="34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en général, Morens TI 1.</w:t>
      </w:r>
    </w:p>
  </w:footnote>
  <w:footnote w:id="35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M. Brad Wenstrup, et. al., président, Select Subcomm. on the Coronavirus Pandemic, H. Comm. on Oversight &amp; Accountability, à M. Peter Daszak, président, EcoHealth Alliance, Inc. (13 février 2023)</w:t>
      </w:r>
    </w:p>
  </w:footnote>
  <w:footnote w:id="35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consultant (4 mai 2024 14 h 33).</w:t>
      </w:r>
    </w:p>
  </w:footnote>
  <w:footnote w:id="35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consultant (13 mai 2024 2:43 AM).</w:t>
      </w:r>
    </w:p>
  </w:footnote>
  <w:footnote w:id="35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et. al., consultant (avr.</w:t>
      </w:r>
    </w:p>
    <w:p>
      <w:pPr>
        <w:pStyle w:val="Style2"/>
        <w:keepNext w:val="0"/>
        <w:keepLines w:val="0"/>
        <w:widowControl w:val="0"/>
        <w:shd w:val="clear" w:color="auto" w:fill="auto"/>
        <w:spacing w:before="0" w:after="0" w:line="240" w:lineRule="auto"/>
        <w:ind w:left="0" w:right="0" w:firstLine="0"/>
        <w:jc w:val="left"/>
      </w:pPr>
      <w:r>
        <w:rPr>
          <w:rStyle w:val="CharStyle3"/>
        </w:rPr>
        <w:t xml:space="preserve">26, 2024 17:42).</w:t>
      </w:r>
    </w:p>
  </w:footnote>
  <w:footnote w:id="35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du Dr Peter Daszak, président, EcoHealth Alliance, Inc., à l’hon. Brad Wenstrup, et al., président, Select Subcomm. on the Coronavirus Pandemic, H. Comm. on Oversight &amp; Accountability (11 avril 2024).</w:t>
      </w:r>
    </w:p>
  </w:footnote>
  <w:footnote w:id="35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et al., consultant (5 avril 2024 à 1 h 06) (soulignement ajouté).</w:t>
      </w:r>
    </w:p>
  </w:footnote>
  <w:footnote w:id="35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et. al., consultant (avr.</w:t>
      </w:r>
    </w:p>
    <w:p>
      <w:pPr>
        <w:pStyle w:val="Style2"/>
        <w:keepNext w:val="0"/>
        <w:keepLines w:val="0"/>
        <w:widowControl w:val="0"/>
        <w:shd w:val="clear" w:color="auto" w:fill="auto"/>
        <w:spacing w:before="0" w:after="0" w:line="240" w:lineRule="auto"/>
        <w:ind w:left="0" w:right="0" w:firstLine="0"/>
        <w:jc w:val="left"/>
      </w:pPr>
      <w:r>
        <w:rPr>
          <w:rStyle w:val="CharStyle3"/>
        </w:rPr>
        <w:t xml:space="preserve">19, 2024 21:05 PM).</w:t>
      </w:r>
    </w:p>
  </w:footnote>
  <w:footnote w:id="35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et. al., consultant (Mar.</w:t>
      </w:r>
    </w:p>
    <w:p>
      <w:pPr>
        <w:pStyle w:val="Style2"/>
        <w:keepNext w:val="0"/>
        <w:keepLines w:val="0"/>
        <w:widowControl w:val="0"/>
        <w:shd w:val="clear" w:color="auto" w:fill="auto"/>
        <w:spacing w:before="0" w:after="0" w:line="240" w:lineRule="auto"/>
        <w:ind w:left="0" w:right="0" w:firstLine="0"/>
        <w:jc w:val="left"/>
      </w:pPr>
      <w:r>
        <w:rPr>
          <w:rStyle w:val="CharStyle3"/>
        </w:rPr>
        <w:t xml:space="preserve">20, 2023 23:51 PM).</w:t>
      </w:r>
    </w:p>
  </w:footnote>
  <w:footnote w:id="35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et. al., consultant (fév.</w:t>
      </w:r>
    </w:p>
    <w:p>
      <w:pPr>
        <w:pStyle w:val="Style2"/>
        <w:keepNext w:val="0"/>
        <w:keepLines w:val="0"/>
        <w:widowControl w:val="0"/>
        <w:shd w:val="clear" w:color="auto" w:fill="auto"/>
        <w:spacing w:before="0" w:after="0" w:line="240" w:lineRule="auto"/>
        <w:ind w:left="0" w:right="0" w:firstLine="0"/>
        <w:jc w:val="left"/>
      </w:pPr>
      <w:r>
        <w:rPr>
          <w:rStyle w:val="CharStyle3"/>
        </w:rPr>
        <w:t xml:space="preserve">14, 2023, 12 h 26).</w:t>
      </w:r>
    </w:p>
  </w:footnote>
  <w:footnote w:id="35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Peter Daszak, président, EcoHealth Alliance, Inc., au Dr Jeffrey Sturchio, et al., consultant (25 janvier 2024 à 19 h 14).</w:t>
      </w:r>
    </w:p>
  </w:footnote>
  <w:footnote w:id="36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E-mail de [SUPPRIMÉ] à Sélectionnez Subcomm. Personnel (7 avril 2024 19h07).</w:t>
      </w:r>
    </w:p>
  </w:footnote>
  <w:footnote w:id="36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M. Brad Wenstrup, président, Select Subcomm. sur la pandémie de coronavirus, H. Comm. sur la surveillance et l’ampliation; la responsabilité, au Dr Gerald Keusch (11 avril 2024).</w:t>
      </w:r>
    </w:p>
  </w:footnote>
  <w:footnote w:id="36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du Dr Gerald Keusch au Dr Peter Daszak, et. al., Pres., EcoHealth Alliance, Inc. (20 avril 2024 à 9 h 57).</w:t>
      </w:r>
    </w:p>
  </w:footnote>
  <w:footnote w:id="36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 </w:t>
      </w:r>
      <w:r>
        <w:fldChar w:fldCharType="begin"/>
      </w:r>
      <w:r>
        <w:rPr/>
        <w:instrText> HYPERLINK "https://www.ecohealthalliance.org/2024/04/ecohealth-alliance-releases-emails-that-are-the-subject-of-false-allegations-in-the-press" </w:instrText>
      </w:r>
      <w:r>
        <w:fldChar w:fldCharType="separate"/>
      </w:r>
      <w:r>
        <w:rPr>
          <w:rStyle w:val="CharStyle3"/>
        </w:rPr>
        <w:t xml:space="preserve">https://www.ecohealthalliance.org/2024/04/ecohealth-alliance-releases-emails-that-are-the-subject-of-false- allégations-in-the-press</w:t>
      </w:r>
      <w:r>
        <w:fldChar w:fldCharType="end"/>
      </w:r>
    </w:p>
  </w:footnote>
  <w:footnote w:id="364">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5 U.S.C. § 552(b)(3) (2022).</w:t>
      </w:r>
    </w:p>
  </w:footnote>
  <w:footnote w:id="36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Gerald Keusch, M.D. (13 juillet 2020, 17 h 21).</w:t>
      </w:r>
    </w:p>
  </w:footnote>
  <w:footnote w:id="36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Gerald Keusch, M.D. (30 juin 2020, 10 h 31).</w:t>
      </w:r>
    </w:p>
  </w:footnote>
  <w:footnote w:id="36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Gerald Keusch, M.D. (4 avril 2023, 7 h 02).</w:t>
      </w:r>
    </w:p>
  </w:footnote>
  <w:footnote w:id="368">
    <w:p>
      <w:pPr>
        <w:pStyle w:val="Style2"/>
        <w:keepNext w:val="0"/>
        <w:keepLines w:val="0"/>
        <w:widowControl w:val="0"/>
        <w:shd w:val="clear" w:color="auto" w:fill="auto"/>
        <w:spacing w:before="0" w:after="0" w:line="240" w:lineRule="auto"/>
        <w:ind w:left="0" w:right="0" w:firstLine="0"/>
        <w:jc w:val="left"/>
      </w:pPr>
      <w:r>
        <w:rPr>
          <w:rStyle w:val="CharStyle3"/>
          <w:sz w:val="13"/>
        </w:rPr>
        <w:footnoteRef/>
      </w:r>
      <w:r>
        <w:rPr>
          <w:rStyle w:val="CharStyle3"/>
          <w:vertAlign w:val="subscript"/>
        </w:rPr>
        <w:t>Id.</w:t>
      </w:r>
    </w:p>
  </w:footnote>
  <w:footnote w:id="369">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Morens TI 2, à 51.</w:t>
      </w:r>
    </w:p>
  </w:footnote>
  <w:footnote w:id="370">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Morens TI 2, à 51.</w:t>
      </w:r>
    </w:p>
  </w:footnote>
  <w:footnote w:id="371">
    <w:p>
      <w:pPr>
        <w:pStyle w:val="Style2"/>
        <w:keepNext w:val="0"/>
        <w:keepLines w:val="0"/>
        <w:widowControl w:val="0"/>
        <w:shd w:val="clear" w:color="auto" w:fill="auto"/>
        <w:spacing w:before="0" w:after="0" w:line="240" w:lineRule="auto"/>
        <w:ind w:left="0" w:right="0" w:firstLine="0"/>
        <w:jc w:val="left"/>
      </w:pPr>
      <w:r>
        <w:rPr>
          <w:rStyle w:val="CharStyle3"/>
          <w:sz w:val="13"/>
        </w:rPr>
        <w:footnoteRef/>
      </w:r>
      <w:r>
        <w:rPr>
          <w:rStyle w:val="CharStyle3"/>
          <w:vertAlign w:val="subscript"/>
        </w:rPr>
        <w:t>Id.</w:t>
      </w:r>
    </w:p>
  </w:footnote>
  <w:footnote w:id="37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Gerald Keusch, M.D. (18 novembre 2021, 17 h 06).</w:t>
      </w:r>
    </w:p>
  </w:footnote>
  <w:footnote w:id="373">
    <w:p>
      <w:pPr>
        <w:pStyle w:val="Style2"/>
        <w:keepNext w:val="0"/>
        <w:keepLines w:val="0"/>
        <w:widowControl w:val="0"/>
        <w:shd w:val="clear" w:color="auto" w:fill="auto"/>
        <w:spacing w:before="0" w:after="0" w:line="240" w:lineRule="auto"/>
        <w:ind w:left="0" w:right="0" w:firstLine="0"/>
        <w:jc w:val="left"/>
      </w:pPr>
      <w:r>
        <w:rPr>
          <w:rStyle w:val="CharStyle3"/>
          <w:sz w:val="13"/>
        </w:rPr>
        <w:footnoteRef/>
      </w:r>
      <w:r>
        <w:rPr>
          <w:rStyle w:val="CharStyle3"/>
          <w:vertAlign w:val="subscript"/>
        </w:rPr>
        <w:t>Id.</w:t>
      </w:r>
    </w:p>
  </w:footnote>
  <w:footnote w:id="374">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5 U.S.C. § 552 (2023).</w:t>
      </w:r>
    </w:p>
  </w:footnote>
  <w:footnote w:id="37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Morens TI 1, à 59-60.</w:t>
      </w:r>
    </w:p>
  </w:footnote>
  <w:footnote w:id="376">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Id.</w:t>
      </w:r>
    </w:p>
  </w:footnote>
  <w:footnote w:id="37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18 U.S.C. § 2071, soulignement ajouté.</w:t>
      </w:r>
    </w:p>
  </w:footnote>
  <w:footnote w:id="378">
    <w:p>
      <w:pPr>
        <w:pStyle w:val="Style2"/>
        <w:keepNext w:val="0"/>
        <w:keepLines w:val="0"/>
        <w:widowControl w:val="0"/>
        <w:shd w:val="clear" w:color="auto" w:fill="auto"/>
        <w:spacing w:before="0" w:after="0" w:line="240" w:lineRule="auto"/>
        <w:ind w:left="0" w:right="0" w:firstLine="0"/>
        <w:jc w:val="left"/>
      </w:pPr>
      <w:r>
        <w:rPr>
          <w:rStyle w:val="CharStyle3"/>
        </w:rPr>
        <w:t xml:space="preserve">Manuel de ressources</w:t>
        <w:footnoteRef/>
        <w:t xml:space="preserve"> criminelles § 1663: Protection of Government Property—Protection of Public Records and Documents, U.S. Dep’t of Justice (Protection des biens de l’État — Protection des archives et documents publics), ministère de la justice des États-Unis.</w:t>
      </w:r>
    </w:p>
  </w:footnote>
  <w:footnote w:id="37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Peter Daszak, Ph.D., EcoHealth Alliance, Inc (21 janvier 2022, 22 h 34).</w:t>
      </w:r>
    </w:p>
  </w:footnote>
  <w:footnote w:id="38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Peter Daszak, Ph.D., EcoHealth Alliance, Inc (1er août 2022, 13 h 39).</w:t>
      </w:r>
    </w:p>
  </w:footnote>
  <w:footnote w:id="381">
    <w:p>
      <w:pPr>
        <w:pStyle w:val="Style2"/>
        <w:keepNext w:val="0"/>
        <w:keepLines w:val="0"/>
        <w:widowControl w:val="0"/>
        <w:shd w:val="clear" w:color="auto" w:fill="auto"/>
        <w:spacing w:before="0" w:after="0" w:line="259" w:lineRule="auto"/>
        <w:ind w:left="0" w:right="0" w:firstLine="0"/>
        <w:jc w:val="left"/>
        <w:rPr>
          <w:sz w:val="16"/>
        </w:rPr>
      </w:pPr>
      <w:r>
        <w:rPr>
          <w:rStyle w:val="CharStyle3"/>
          <w:color w:val="303030"/>
          <w:sz w:val="16"/>
        </w:rPr>
        <w:t xml:space="preserve">À partir de: </w:t>
      </w:r>
      <w:r>
        <w:rPr>
          <w:rStyle w:val="CharStyle3"/>
          <w:color w:val="464648"/>
          <w:sz w:val="16"/>
        </w:rPr>
        <w:t xml:space="preserve">David Morens</w:t>
      </w:r>
    </w:p>
    <w:p>
      <w:pPr>
        <w:pStyle w:val="Style2"/>
        <w:keepNext w:val="0"/>
        <w:keepLines w:val="0"/>
        <w:widowControl w:val="0"/>
        <w:shd w:val="clear" w:color="auto" w:fill="auto"/>
        <w:spacing w:before="0" w:after="0" w:line="259" w:lineRule="auto"/>
        <w:ind w:left="0" w:right="0" w:firstLine="0"/>
        <w:jc w:val="left"/>
        <w:rPr>
          <w:sz w:val="16"/>
        </w:rPr>
      </w:pPr>
      <w:r>
        <w:rPr>
          <w:rStyle w:val="CharStyle3"/>
          <w:color w:val="303030"/>
          <w:sz w:val="15"/>
        </w:rPr>
        <w:t xml:space="preserve">Envoyé: </w:t>
      </w:r>
      <w:r>
        <w:rPr>
          <w:rStyle w:val="CharStyle3"/>
          <w:color w:val="464648"/>
          <w:sz w:val="15"/>
        </w:rPr>
        <w:t>Mardi</w:t>
      </w:r>
      <w:r>
        <w:rPr>
          <w:rStyle w:val="CharStyle3"/>
          <w:rFonts w:ascii="Arial" w:hAnsi="Arial" w:cs="Arial" w:eastAsia="Arial"/>
          <w:color w:val="464648"/>
          <w:sz w:val="16"/>
        </w:rPr>
        <w:t xml:space="preserve">5 octobre</w:t>
      </w:r>
      <w:r>
        <w:rPr>
          <w:rStyle w:val="CharStyle3"/>
          <w:color w:val="464648"/>
          <w:sz w:val="15"/>
        </w:rPr>
        <w:t xml:space="preserve"> 2021 18:28 </w:t>
      </w:r>
    </w:p>
    <w:p>
      <w:pPr>
        <w:pStyle w:val="Style2"/>
        <w:keepNext w:val="0"/>
        <w:keepLines w:val="0"/>
        <w:widowControl w:val="0"/>
        <w:shd w:val="clear" w:color="auto" w:fill="auto"/>
        <w:spacing w:before="0" w:after="0" w:line="259" w:lineRule="auto"/>
        <w:ind w:left="0" w:right="0" w:firstLine="0"/>
        <w:jc w:val="left"/>
        <w:rPr>
          <w:sz w:val="16"/>
        </w:rPr>
      </w:pPr>
      <w:r>
        <w:rPr>
          <w:rStyle w:val="CharStyle3"/>
          <w:color w:val="303030"/>
          <w:sz w:val="16"/>
        </w:rPr>
        <w:t xml:space="preserve">À l'attention de: Peter Daszak</w:t>
      </w:r>
    </w:p>
    <w:p>
      <w:pPr>
        <w:pStyle w:val="Style2"/>
        <w:keepNext w:val="0"/>
        <w:keepLines w:val="0"/>
        <w:widowControl w:val="0"/>
        <w:shd w:val="clear" w:color="auto" w:fill="auto"/>
        <w:spacing w:before="0" w:after="200" w:line="259" w:lineRule="auto"/>
        <w:ind w:left="0" w:right="0" w:firstLine="0"/>
        <w:jc w:val="left"/>
        <w:rPr>
          <w:sz w:val="16"/>
        </w:rPr>
      </w:pPr>
      <w:r>
        <w:rPr>
          <w:rStyle w:val="CharStyle3"/>
          <w:color w:val="303030"/>
          <w:sz w:val="16"/>
        </w:rPr>
        <w:t xml:space="preserve">Objet: En ce qui concerne: </w:t>
      </w:r>
      <w:r>
        <w:rPr>
          <w:rStyle w:val="CharStyle3"/>
          <w:color w:val="464648"/>
          <w:sz w:val="16"/>
        </w:rPr>
        <w:t xml:space="preserve">Parler avec le personnel d'Elizabeth Warren</w:t>
      </w:r>
    </w:p>
    <w:p>
      <w:pPr>
        <w:pStyle w:val="Style2"/>
        <w:keepNext w:val="0"/>
        <w:keepLines w:val="0"/>
        <w:widowControl w:val="0"/>
        <w:shd w:val="clear" w:color="auto" w:fill="auto"/>
        <w:spacing w:before="0" w:after="200" w:line="259" w:lineRule="auto"/>
        <w:ind w:left="0" w:right="0" w:firstLine="0"/>
        <w:jc w:val="left"/>
        <w:rPr>
          <w:sz w:val="16"/>
        </w:rPr>
      </w:pPr>
      <w:r>
        <w:rPr>
          <w:rStyle w:val="CharStyle3"/>
          <w:color w:val="303030"/>
          <w:sz w:val="16"/>
        </w:rPr>
        <w:t xml:space="preserve">Peter, </w:t>
      </w:r>
      <w:r>
        <w:rPr>
          <w:rStyle w:val="CharStyle3"/>
          <w:color w:val="838481"/>
          <w:sz w:val="16"/>
        </w:rPr>
        <w:t>j'ai</w:t>
      </w:r>
      <w:r>
        <w:rPr>
          <w:rStyle w:val="CharStyle3"/>
          <w:color w:val="464648"/>
          <w:sz w:val="16"/>
        </w:rPr>
        <w:t xml:space="preserve"> </w:t>
      </w:r>
      <w:r>
        <w:rPr>
          <w:rStyle w:val="CharStyle3"/>
          <w:color w:val="838481"/>
          <w:sz w:val="16"/>
        </w:rPr>
        <w:t xml:space="preserve">juste appris qu'un </w:t>
      </w:r>
      <w:r>
        <w:rPr>
          <w:rStyle w:val="CharStyle3"/>
          <w:color w:val="303030"/>
          <w:sz w:val="16"/>
        </w:rPr>
        <w:t xml:space="preserve"> </w:t>
      </w:r>
      <w:r>
        <w:rPr>
          <w:rStyle w:val="CharStyle3"/>
          <w:color w:val="464648"/>
          <w:sz w:val="16"/>
        </w:rPr>
        <w:t xml:space="preserve">foia a pris un </w:t>
      </w:r>
      <w:r>
        <w:rPr>
          <w:rStyle w:val="CharStyle3"/>
          <w:color w:val="464648"/>
          <w:sz w:val="16"/>
        </w:rPr>
        <w:t xml:space="preserve">email que je t'ai </w:t>
      </w:r>
      <w:r>
        <w:rPr>
          <w:rStyle w:val="CharStyle3"/>
          <w:color w:val="464648"/>
          <w:sz w:val="16"/>
        </w:rPr>
        <w:t xml:space="preserve">envoyé disant que Tony a commenté </w:t>
      </w:r>
      <w:r>
        <w:rPr>
          <w:rStyle w:val="CharStyle3"/>
          <w:color w:val="303030"/>
          <w:sz w:val="16"/>
        </w:rPr>
        <w:t xml:space="preserve">qu'il était mort de </w:t>
      </w:r>
      <w:r>
        <w:rPr>
          <w:rStyle w:val="CharStyle3"/>
          <w:color w:val="464648"/>
          <w:sz w:val="16"/>
        </w:rPr>
        <w:t xml:space="preserve">cerveau, en plaisantant bien sûr. Cependant, Ron Johnson est partout et </w:t>
      </w:r>
      <w:r>
        <w:rPr>
          <w:rStyle w:val="CharStyle3"/>
          <w:color w:val="303030"/>
          <w:sz w:val="16"/>
        </w:rPr>
        <w:t xml:space="preserve">me modifie maintenant. </w:t>
      </w:r>
      <w:r>
        <w:rPr>
          <w:rStyle w:val="CharStyle3"/>
          <w:color w:val="464648"/>
          <w:sz w:val="16"/>
        </w:rPr>
        <w:t xml:space="preserve">Tony sera énervé, à juste titre. </w:t>
      </w:r>
      <w:r>
        <w:rPr>
          <w:rStyle w:val="CharStyle3"/>
          <w:color w:val="838481"/>
          <w:sz w:val="16"/>
        </w:rPr>
        <w:t xml:space="preserve">1 </w:t>
      </w:r>
      <w:r>
        <w:rPr>
          <w:rStyle w:val="CharStyle3"/>
          <w:color w:val="464648"/>
          <w:sz w:val="16"/>
        </w:rPr>
        <w:t xml:space="preserve">supprimé cet e-mail, </w:t>
      </w:r>
      <w:r>
        <w:rPr>
          <w:rStyle w:val="CharStyle3"/>
          <w:color w:val="838481"/>
          <w:sz w:val="16"/>
        </w:rPr>
        <w:t xml:space="preserve">mais </w:t>
      </w:r>
      <w:r>
        <w:rPr>
          <w:rStyle w:val="CharStyle3"/>
          <w:color w:val="303030"/>
          <w:sz w:val="16"/>
        </w:rPr>
        <w:t xml:space="preserve">j'apprends </w:t>
      </w:r>
      <w:r>
        <w:rPr>
          <w:rStyle w:val="CharStyle3"/>
          <w:color w:val="464648"/>
          <w:sz w:val="16"/>
        </w:rPr>
        <w:t xml:space="preserve"> </w:t>
      </w:r>
      <w:r>
        <w:rPr>
          <w:rStyle w:val="CharStyle3"/>
          <w:color w:val="464648"/>
          <w:sz w:val="16"/>
        </w:rPr>
        <w:t xml:space="preserve">maintenant </w:t>
      </w:r>
      <w:r>
        <w:rPr>
          <w:rStyle w:val="CharStyle3"/>
          <w:color w:val="464648"/>
          <w:sz w:val="16"/>
        </w:rPr>
        <w:t xml:space="preserve">que chaque e-mail iever gol / envoyé depuis </w:t>
      </w:r>
      <w:r>
        <w:rPr>
          <w:rStyle w:val="CharStyle3"/>
          <w:color w:val="303030"/>
          <w:sz w:val="16"/>
        </w:rPr>
        <w:t xml:space="preserve">1998 </w:t>
      </w:r>
      <w:r>
        <w:rPr>
          <w:rStyle w:val="CharStyle3"/>
          <w:color w:val="464648"/>
          <w:sz w:val="16"/>
        </w:rPr>
        <w:t xml:space="preserve">est capturé </w:t>
      </w:r>
      <w:r>
        <w:rPr>
          <w:rStyle w:val="CharStyle3"/>
          <w:color w:val="303030"/>
          <w:sz w:val="16"/>
        </w:rPr>
        <w:t xml:space="preserve">et </w:t>
      </w:r>
      <w:r>
        <w:rPr>
          <w:rStyle w:val="CharStyle3"/>
          <w:color w:val="464648"/>
          <w:sz w:val="16"/>
        </w:rPr>
        <w:t xml:space="preserve">sera retourné, </w:t>
      </w:r>
      <w:r>
        <w:rPr>
          <w:rStyle w:val="CharStyle3"/>
          <w:color w:val="303030"/>
          <w:sz w:val="16"/>
        </w:rPr>
        <w:t xml:space="preserve"> </w:t>
      </w:r>
      <w:r>
        <w:rPr>
          <w:rStyle w:val="CharStyle3"/>
          <w:color w:val="464648"/>
          <w:sz w:val="16"/>
        </w:rPr>
        <w:t xml:space="preserve">que je l'ai supprimé instantanément ou non.</w:t>
      </w:r>
    </w:p>
    <w:p>
      <w:pPr>
        <w:pStyle w:val="Style2"/>
        <w:keepNext w:val="0"/>
        <w:keepLines w:val="0"/>
        <w:widowControl w:val="0"/>
        <w:shd w:val="clear" w:color="auto" w:fill="auto"/>
        <w:spacing w:before="0" w:after="200" w:line="259" w:lineRule="auto"/>
        <w:ind w:left="0" w:right="0" w:firstLine="0"/>
        <w:jc w:val="left"/>
        <w:rPr>
          <w:sz w:val="16"/>
        </w:rPr>
      </w:pPr>
      <w:r>
        <w:rPr>
          <w:rStyle w:val="CharStyle3"/>
          <w:color w:val="464648"/>
          <w:sz w:val="16"/>
        </w:rPr>
        <w:t xml:space="preserve">Gmail, téléphone, SMS.... </w:t>
      </w:r>
      <w:r>
        <w:rPr>
          <w:rStyle w:val="CharStyle3"/>
          <w:color w:val="303030"/>
          <w:sz w:val="16"/>
        </w:rPr>
        <w:t xml:space="preserve">je </w:t>
      </w:r>
      <w:r>
        <w:rPr>
          <w:rStyle w:val="CharStyle3"/>
          <w:color w:val="464648"/>
          <w:sz w:val="16"/>
        </w:rPr>
        <w:t xml:space="preserve">dois m'appuyer </w:t>
      </w:r>
      <w:r>
        <w:rPr>
          <w:rStyle w:val="CharStyle3"/>
          <w:color w:val="303030"/>
          <w:sz w:val="16"/>
        </w:rPr>
        <w:t xml:space="preserve"> </w:t>
      </w:r>
      <w:r>
        <w:rPr>
          <w:rStyle w:val="CharStyle3"/>
          <w:color w:val="464648"/>
          <w:sz w:val="16"/>
        </w:rPr>
        <w:t xml:space="preserve">scrupuleusement sur ceux-là exclusivement, </w:t>
      </w:r>
      <w:r>
        <w:rPr>
          <w:rStyle w:val="CharStyle3"/>
          <w:color w:val="303030"/>
          <w:sz w:val="16"/>
        </w:rPr>
        <w:t>d</w:t>
      </w:r>
    </w:p>
    <w:p>
      <w:pPr>
        <w:pStyle w:val="Style2"/>
        <w:keepNext w:val="0"/>
        <w:keepLines w:val="0"/>
        <w:widowControl w:val="0"/>
        <w:shd w:val="clear" w:color="auto" w:fill="auto"/>
        <w:spacing w:before="0" w:after="0" w:line="259" w:lineRule="auto"/>
        <w:ind w:left="0" w:right="0" w:firstLine="0"/>
        <w:jc w:val="left"/>
        <w:rPr>
          <w:sz w:val="16"/>
        </w:rPr>
      </w:pPr>
      <w:r>
        <w:rPr>
          <w:rStyle w:val="CharStyle3"/>
          <w:color w:val="464648"/>
          <w:sz w:val="16"/>
        </w:rPr>
        <w:t xml:space="preserve">Envoyé depuis mon iPhone</w:t>
      </w:r>
    </w:p>
    <w:p>
      <w:pPr>
        <w:pStyle w:val="Style2"/>
        <w:keepNext w:val="0"/>
        <w:keepLines w:val="0"/>
        <w:widowControl w:val="0"/>
        <w:shd w:val="clear" w:color="auto" w:fill="auto"/>
        <w:spacing w:before="0" w:after="0" w:line="259" w:lineRule="auto"/>
        <w:ind w:left="0" w:right="0" w:firstLine="0"/>
        <w:jc w:val="left"/>
        <w:rPr>
          <w:sz w:val="16"/>
        </w:rPr>
      </w:pPr>
      <w:r>
        <w:rPr>
          <w:rStyle w:val="CharStyle3"/>
          <w:color w:val="464648"/>
          <w:sz w:val="16"/>
        </w:rPr>
        <w:t xml:space="preserve">David M Morens</w:t>
      </w:r>
    </w:p>
    <w:p>
      <w:pPr>
        <w:pStyle w:val="Style2"/>
        <w:keepNext w:val="0"/>
        <w:keepLines w:val="0"/>
        <w:widowControl w:val="0"/>
        <w:shd w:val="clear" w:color="auto" w:fill="auto"/>
        <w:spacing w:before="0" w:after="100" w:line="259" w:lineRule="auto"/>
        <w:ind w:left="0" w:right="0" w:firstLine="0"/>
        <w:jc w:val="left"/>
        <w:rPr>
          <w:sz w:val="16"/>
        </w:rPr>
      </w:pPr>
      <w:r>
        <w:rPr>
          <w:rStyle w:val="CharStyle3"/>
          <w:rFonts w:ascii="Arial" w:hAnsi="Arial" w:cs="Arial" w:eastAsia="Arial"/>
          <w:color w:val="464648"/>
          <w:sz w:val="16"/>
        </w:rPr>
        <w:t xml:space="preserve">OD.NiAlD, néant!</w:t>
      </w:r>
    </w:p>
  </w:footnote>
  <w:footnote w:id="38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Gerald Keusch, M.D. (24 février 2021, 9 h 21).</w:t>
      </w:r>
    </w:p>
  </w:footnote>
  <w:footnote w:id="38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Jason Gale, Bloomberg, et al. (10 septembre 2021, 7 h 35).</w:t>
      </w:r>
    </w:p>
  </w:footnote>
  <w:footnote w:id="38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 of Health (28 juin 2021, 16 h 10).</w:t>
      </w:r>
    </w:p>
  </w:footnote>
  <w:footnote w:id="385">
    <w:p>
      <w:pPr>
        <w:pStyle w:val="Style2"/>
        <w:keepNext w:val="0"/>
        <w:keepLines w:val="0"/>
        <w:widowControl w:val="0"/>
        <w:shd w:val="clear" w:color="auto" w:fill="auto"/>
        <w:spacing w:before="0" w:after="0" w:line="240" w:lineRule="auto"/>
        <w:ind w:left="0" w:right="0" w:firstLine="0"/>
        <w:jc w:val="left"/>
      </w:pPr>
      <w:r>
        <w:rPr>
          <w:rStyle w:val="CharStyle3"/>
          <w:sz w:val="13"/>
        </w:rPr>
        <w:footnoteRef/>
      </w:r>
      <w:r>
        <w:rPr>
          <w:rStyle w:val="CharStyle3"/>
          <w:vertAlign w:val="subscript"/>
        </w:rPr>
        <w:t>Id.</w:t>
      </w:r>
    </w:p>
  </w:footnote>
  <w:footnote w:id="38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Nat’l Inst. of Allergy &amp; Infectious Diseases, Nat’l Insts. of Health, à Peter Daszak, Ph.D., Pres., EcoHealth Alliance, Inc., et al. (16 juin 2020, 14h22).</w:t>
      </w:r>
    </w:p>
  </w:footnote>
  <w:footnote w:id="387">
    <w:p>
      <w:pPr>
        <w:pStyle w:val="Style2"/>
        <w:keepNext w:val="0"/>
        <w:keepLines w:val="0"/>
        <w:widowControl w:val="0"/>
        <w:shd w:val="clear" w:color="auto" w:fill="auto"/>
        <w:spacing w:before="0" w:after="0" w:line="240" w:lineRule="auto"/>
        <w:ind w:left="0" w:right="0" w:firstLine="0"/>
        <w:jc w:val="left"/>
      </w:pPr>
      <w:r>
        <w:rPr>
          <w:rStyle w:val="CharStyle3"/>
          <w:sz w:val="13"/>
        </w:rPr>
        <w:footnoteRef/>
      </w:r>
      <w:r>
        <w:rPr>
          <w:rStyle w:val="CharStyle3"/>
          <w:vertAlign w:val="subscript"/>
        </w:rPr>
        <w:t>Id.</w:t>
      </w:r>
    </w:p>
  </w:footnote>
  <w:footnote w:id="388">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Morens TI 2, à 51.</w:t>
      </w:r>
    </w:p>
  </w:footnote>
  <w:footnote w:id="389">
    <w:p>
      <w:pPr>
        <w:pStyle w:val="Style2"/>
        <w:keepNext w:val="0"/>
        <w:keepLines w:val="0"/>
        <w:widowControl w:val="0"/>
        <w:shd w:val="clear" w:color="auto" w:fill="auto"/>
        <w:spacing w:before="0" w:after="0" w:line="240" w:lineRule="auto"/>
        <w:ind w:left="0" w:right="0" w:firstLine="0"/>
        <w:jc w:val="left"/>
      </w:pPr>
      <w:r>
        <w:rPr>
          <w:rStyle w:val="CharStyle3"/>
          <w:sz w:val="13"/>
        </w:rPr>
        <w:footnoteRef/>
      </w:r>
      <w:r>
        <w:rPr>
          <w:rStyle w:val="CharStyle3"/>
          <w:vertAlign w:val="subscript"/>
        </w:rPr>
        <w:t>Id.</w:t>
      </w:r>
    </w:p>
  </w:footnote>
  <w:footnote w:id="39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d'une manière générale, Morens Hearing.</w:t>
      </w:r>
    </w:p>
  </w:footnote>
  <w:footnote w:id="391">
    <w:p>
      <w:pPr>
        <w:pStyle w:val="Style2"/>
        <w:keepNext w:val="0"/>
        <w:keepLines w:val="0"/>
        <w:widowControl w:val="0"/>
        <w:shd w:val="clear" w:color="auto" w:fill="auto"/>
        <w:spacing w:before="0" w:after="0" w:line="240" w:lineRule="auto"/>
        <w:ind w:left="0" w:right="0" w:firstLine="0"/>
        <w:jc w:val="left"/>
      </w:pPr>
      <w:r>
        <w:rPr>
          <w:rStyle w:val="CharStyle3"/>
        </w:rPr>
        <w:t>Audition</w:t>
        <w:footnoteRef/>
        <w:t xml:space="preserve"> de Morens, à 32 ans.</w:t>
      </w:r>
    </w:p>
  </w:footnote>
  <w:footnote w:id="392">
    <w:p>
      <w:pPr>
        <w:pStyle w:val="Style2"/>
        <w:keepNext w:val="0"/>
        <w:keepLines w:val="0"/>
        <w:widowControl w:val="0"/>
        <w:shd w:val="clear" w:color="auto" w:fill="auto"/>
        <w:spacing w:before="0" w:after="0" w:line="240" w:lineRule="auto"/>
        <w:ind w:left="0" w:right="0" w:firstLine="0"/>
        <w:jc w:val="left"/>
      </w:pPr>
      <w:r>
        <w:rPr>
          <w:rStyle w:val="CharStyle3"/>
        </w:rPr>
        <w:t>Audition</w:t>
        <w:footnoteRef/>
        <w:t xml:space="preserve"> de Morens, à 7 h.</w:t>
      </w:r>
    </w:p>
  </w:footnote>
  <w:footnote w:id="39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d'une manière générale, Morens Hearing.</w:t>
      </w:r>
    </w:p>
  </w:footnote>
  <w:footnote w:id="394">
    <w:p>
      <w:pPr>
        <w:pStyle w:val="Style2"/>
        <w:keepNext w:val="0"/>
        <w:keepLines w:val="0"/>
        <w:widowControl w:val="0"/>
        <w:shd w:val="clear" w:color="auto" w:fill="auto"/>
        <w:spacing w:before="0" w:after="0" w:line="240" w:lineRule="auto"/>
        <w:ind w:left="0" w:right="0" w:firstLine="0"/>
        <w:jc w:val="both"/>
      </w:pPr>
      <w:r>
        <w:rPr>
          <w:rStyle w:val="CharStyle3"/>
        </w:rPr>
        <w:footnoteRef/>
        <w:t xml:space="preserve"> HHS Policy for Records Management, U.S. </w:t>
      </w:r>
      <w:r>
        <w:rPr>
          <w:rStyle w:val="CharStyle3"/>
          <w:smallCaps/>
        </w:rPr>
        <w:t>D</w:t>
      </w:r>
      <w:r>
        <w:rPr>
          <w:rStyle w:val="CharStyle3"/>
          <w:smallCaps/>
          <w:sz w:val="15"/>
        </w:rPr>
        <w:t>ept</w:t>
      </w:r>
      <w:r>
        <w:rPr>
          <w:rStyle w:val="CharStyle3"/>
          <w:smallCaps/>
        </w:rPr>
        <w:t xml:space="preserve">. </w:t>
      </w:r>
      <w:r>
        <w:rPr>
          <w:rStyle w:val="CharStyle3"/>
          <w:smallCaps/>
          <w:sz w:val="15"/>
        </w:rPr>
        <w:t xml:space="preserve">of </w:t>
      </w:r>
      <w:r>
        <w:rPr>
          <w:rStyle w:val="CharStyle3"/>
          <w:smallCaps/>
        </w:rPr>
        <w:t>H</w:t>
      </w:r>
      <w:r>
        <w:rPr>
          <w:rStyle w:val="CharStyle3"/>
          <w:smallCaps/>
          <w:sz w:val="15"/>
        </w:rPr>
        <w:t>ealth</w:t>
      </w:r>
      <w:r>
        <w:rPr>
          <w:rStyle w:val="CharStyle3"/>
        </w:rPr>
        <w:t xml:space="preserve"> &amp; </w:t>
      </w:r>
      <w:r>
        <w:rPr>
          <w:rStyle w:val="CharStyle3"/>
          <w:smallCaps/>
        </w:rPr>
        <w:t>H</w:t>
      </w:r>
      <w:r>
        <w:rPr>
          <w:rStyle w:val="CharStyle3"/>
          <w:smallCaps/>
          <w:sz w:val="15"/>
        </w:rPr>
        <w:t xml:space="preserve">uman </w:t>
      </w:r>
      <w:r>
        <w:rPr>
          <w:rStyle w:val="CharStyle3"/>
          <w:smallCaps/>
        </w:rPr>
        <w:t>S</w:t>
      </w:r>
      <w:r>
        <w:rPr>
          <w:rStyle w:val="CharStyle3"/>
          <w:smallCaps/>
          <w:sz w:val="15"/>
        </w:rPr>
        <w:t>ervices</w:t>
      </w:r>
      <w:r>
        <w:rPr>
          <w:rStyle w:val="CharStyle3"/>
          <w:smallCaps/>
        </w:rPr>
        <w:t>,</w:t>
      </w:r>
      <w:r>
        <w:rPr>
          <w:rStyle w:val="CharStyle3"/>
        </w:rPr>
        <w:t xml:space="preserve"> disponible à </w:t>
      </w:r>
      <w:r>
        <w:fldChar w:fldCharType="begin"/>
      </w:r>
      <w:r>
        <w:rPr/>
        <w:instrText> HYPERLINK "https://www.hhs.gov/web/governance/digital-strategy/it-policy-archive/hhs-ocio-policy-for-records-management.html" </w:instrText>
      </w:r>
      <w:r>
        <w:fldChar w:fldCharType="separate"/>
      </w:r>
      <w:r>
        <w:rPr>
          <w:rStyle w:val="CharStyle3"/>
        </w:rPr>
        <w:t xml:space="preserve">l’adresse suivante: https://www.hhs.gov/web/governance/digital-strategy/it-policy-archive/hhs-ocio-policy-for-records- management.html</w:t>
      </w:r>
      <w:r>
        <w:fldChar w:fldCharType="end"/>
      </w:r>
      <w:r>
        <w:rPr>
          <w:rStyle w:val="CharStyle3"/>
        </w:rPr>
        <w:t>.</w:t>
      </w:r>
    </w:p>
  </w:footnote>
  <w:footnote w:id="39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Morens TI 2, à 26.</w:t>
      </w:r>
    </w:p>
  </w:footnote>
  <w:footnote w:id="396">
    <w:p>
      <w:pPr>
        <w:pStyle w:val="Style2"/>
        <w:keepNext w:val="0"/>
        <w:keepLines w:val="0"/>
        <w:widowControl w:val="0"/>
        <w:shd w:val="clear" w:color="auto" w:fill="auto"/>
        <w:spacing w:before="0" w:after="0" w:line="240" w:lineRule="auto"/>
        <w:ind w:left="0" w:right="0" w:firstLine="0"/>
        <w:jc w:val="left"/>
      </w:pPr>
      <w:r>
        <w:rPr>
          <w:rStyle w:val="CharStyle3"/>
        </w:rPr>
        <w:t>assignation</w:t>
        <w:footnoteRef/>
        <w:t xml:space="preserve"> à comparaître de Morens 021231</w:t>
      </w:r>
    </w:p>
  </w:footnote>
  <w:footnote w:id="39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à Gerald Keusch, M.D., et. al. (30 mars 2021 à 16 h 25).</w:t>
      </w:r>
    </w:p>
  </w:footnote>
  <w:footnote w:id="39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à Peter Daszak, Ph.D., Pres., EcoHealth Alliance, Inc. (7 septembre 2021 15h29).</w:t>
      </w:r>
    </w:p>
  </w:footnote>
  <w:footnote w:id="39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conseiller principal du directeur, NIAID, à Peter Daszak, et al., président, EcoHealth Alliance, Inc. (11 août 2021, 12 h 52).</w:t>
      </w:r>
    </w:p>
  </w:footnote>
  <w:footnote w:id="40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401">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40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Greg Folkers, chef de cabinet, Nat’l Inst. of Allergy &amp; Infectious Diseases, Nat’l Inst. of Health, à Nat’l Inst. of Allergy &amp; Infectious Diseases Staff (3 septembre 2021, 9 h 29).</w:t>
      </w:r>
    </w:p>
  </w:footnote>
  <w:footnote w:id="40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Greg Folkers, chef de cabinet, Nat’l Inst. of Allergy &amp; Infectious Diseases, Nat’l Inst. of Health, à Nat’l Inst. of Allergy &amp; Infectious Diseases Staff (3 septembre 2021, 12 h 09).</w:t>
      </w:r>
    </w:p>
  </w:footnote>
  <w:footnote w:id="40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 of Health, à Peter Daszak, Ph.D., EcoHealth Alliance, Inc., et al. (5 septembre 2021, 13h34).</w:t>
      </w:r>
    </w:p>
  </w:footnote>
  <w:footnote w:id="405">
    <w:p>
      <w:pPr>
        <w:pStyle w:val="Style2"/>
        <w:keepNext w:val="0"/>
        <w:keepLines w:val="0"/>
        <w:widowControl w:val="0"/>
        <w:pBdr>
          <w:top w:val="single" w:sz="4" w:space="0" w:color="auto"/>
        </w:pBdr>
        <w:shd w:val="clear" w:color="auto" w:fill="auto"/>
        <w:spacing w:before="0" w:after="0" w:line="240" w:lineRule="auto"/>
        <w:ind w:left="0" w:right="0" w:firstLine="140"/>
        <w:jc w:val="left"/>
      </w:pPr>
      <w:r>
        <w:rPr>
          <w:rStyle w:val="CharStyle3"/>
        </w:rPr>
        <w:footnoteRef/>
        <w:t xml:space="preserve">5 U.S.C. 3331.</w:t>
      </w:r>
    </w:p>
  </w:footnote>
  <w:footnote w:id="406">
    <w:p>
      <w:pPr>
        <w:pStyle w:val="Style2"/>
        <w:keepNext w:val="0"/>
        <w:keepLines w:val="0"/>
        <w:widowControl w:val="0"/>
        <w:shd w:val="clear" w:color="auto" w:fill="auto"/>
        <w:spacing w:before="0" w:after="0" w:line="240" w:lineRule="auto"/>
        <w:ind w:left="140" w:right="0" w:firstLine="0"/>
        <w:jc w:val="left"/>
      </w:pPr>
      <w:r>
        <w:rPr>
          <w:rStyle w:val="CharStyle3"/>
        </w:rPr>
        <w:footnoteRef/>
        <w:t xml:space="preserve">Courriel de David Morens, M.D., conseiller principal, Nat’l Inst. of Allergy &amp; Infectious Diseases, Nat’l Inst. of Health, à Peter Daszak, Ph.D., EcoHealth Alliance, Inc., et al. (29 mars 2021, 13h08).</w:t>
      </w:r>
    </w:p>
  </w:footnote>
  <w:footnote w:id="407">
    <w:p>
      <w:pPr>
        <w:pStyle w:val="Style2"/>
        <w:keepNext w:val="0"/>
        <w:keepLines w:val="0"/>
        <w:widowControl w:val="0"/>
        <w:shd w:val="clear" w:color="auto" w:fill="auto"/>
        <w:spacing w:before="0" w:after="0" w:line="240" w:lineRule="auto"/>
        <w:ind w:left="0" w:right="0" w:hanging="620"/>
        <w:jc w:val="left"/>
        <w:rPr>
          <w:sz w:val="17"/>
        </w:rPr>
      </w:pPr>
      <w:r>
        <w:rPr>
          <w:rStyle w:val="CharStyle3"/>
          <w:sz w:val="17"/>
        </w:rPr>
        <w:t>Audience</w:t>
        <w:footnoteRef/>
        <w:t xml:space="preserve"> Tabak, </w:t>
      </w:r>
      <w:r>
        <w:rPr>
          <w:rStyle w:val="CharStyle3"/>
          <w:i/>
          <w:sz w:val="17"/>
        </w:rPr>
        <w:t>supra</w:t>
      </w:r>
      <w:r>
        <w:rPr>
          <w:rStyle w:val="CharStyle3"/>
          <w:sz w:val="17"/>
        </w:rPr>
        <w:t xml:space="preserve"> note 248, à l'adresse suivante:</w:t>
      </w:r>
    </w:p>
  </w:footnote>
  <w:footnote w:id="408">
    <w:p>
      <w:pPr>
        <w:pStyle w:val="Style2"/>
        <w:keepNext w:val="0"/>
        <w:keepLines w:val="0"/>
        <w:widowControl w:val="0"/>
        <w:shd w:val="clear" w:color="auto" w:fill="auto"/>
        <w:spacing w:before="0" w:after="0" w:line="240" w:lineRule="auto"/>
        <w:ind w:left="0" w:right="0" w:hanging="600"/>
        <w:jc w:val="left"/>
      </w:pPr>
      <w:r>
        <w:rPr>
          <w:rStyle w:val="CharStyle3"/>
        </w:rPr>
        <w:t>Audition</w:t>
        <w:footnoteRef/>
        <w:t xml:space="preserve"> de Fauci, supra note 233, à l’adresse suivante:</w:t>
      </w:r>
    </w:p>
  </w:footnote>
  <w:footnote w:id="40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Se préparer à la prochaine pandémie, supra note 232.</w:t>
      </w:r>
    </w:p>
  </w:footnote>
  <w:footnote w:id="41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41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Insts. of Health, à Gerald Keusch, M.D. (18 novembre 2021).</w:t>
      </w:r>
    </w:p>
  </w:footnote>
  <w:footnote w:id="412">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t>Audition</w:t>
        <w:footnoteRef/>
        <w:t xml:space="preserve"> de Morens aux pp. 40-42</w:t>
      </w:r>
    </w:p>
  </w:footnote>
  <w:footnote w:id="413">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t>Audition</w:t>
        <w:footnoteRef/>
        <w:t xml:space="preserve"> de Morens aux pp. 40-42</w:t>
      </w:r>
    </w:p>
  </w:footnote>
  <w:footnote w:id="414">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41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Insts. of Health, à Gerald Keusch, M.D. (22 juillet 2020, 17 h 59).</w:t>
      </w:r>
    </w:p>
  </w:footnote>
  <w:footnote w:id="41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 of Health, à Peter Daszak, Ph.D., EcoHealth Alliance, Inc., et al. (11 décembre 2020, 13h17).</w:t>
      </w:r>
    </w:p>
  </w:footnote>
  <w:footnote w:id="41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 of Health, à Peter Daszak, Ph.D., EcoHealth Alliance, Inc., et al. (27 août 2020, 19h54).</w:t>
      </w:r>
    </w:p>
  </w:footnote>
  <w:footnote w:id="418">
    <w:p>
      <w:pPr>
        <w:pStyle w:val="Style2"/>
        <w:keepNext w:val="0"/>
        <w:keepLines w:val="0"/>
        <w:widowControl w:val="0"/>
        <w:shd w:val="clear" w:color="auto" w:fill="auto"/>
        <w:spacing w:before="0" w:after="0" w:line="240" w:lineRule="auto"/>
        <w:ind w:left="0" w:right="0" w:firstLine="0"/>
        <w:jc w:val="left"/>
      </w:pPr>
      <w:r>
        <w:rPr>
          <w:rStyle w:val="CharStyle3"/>
        </w:rPr>
        <w:t>Audition</w:t>
        <w:footnoteRef/>
        <w:t xml:space="preserve"> de Morens à 24 heures (questions Malliotakis)</w:t>
      </w:r>
    </w:p>
  </w:footnote>
  <w:footnote w:id="41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 of Health, à Peter Daszak, Ph.D., EcoHealth Alliance, Inc., et al. (25 juillet 2021, 15h10).</w:t>
      </w:r>
    </w:p>
  </w:footnote>
  <w:footnote w:id="42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David Morens, M.D., conseiller principal, Nat’l Inst. of Allergy &amp; Infectious Diseases, Nat’l Insts. of Health, à Peter Daszak, Ph.D., EcoHealth Alliance, Inc. (10 juin 2020, 20 h 56).</w:t>
      </w:r>
    </w:p>
  </w:footnote>
  <w:footnote w:id="421">
    <w:p>
      <w:pPr>
        <w:pStyle w:val="Style2"/>
        <w:keepNext w:val="0"/>
        <w:keepLines w:val="0"/>
        <w:widowControl w:val="0"/>
        <w:shd w:val="clear" w:color="auto" w:fill="auto"/>
        <w:spacing w:before="0" w:after="0" w:line="180" w:lineRule="auto"/>
        <w:ind w:left="0" w:right="0" w:firstLine="0"/>
        <w:jc w:val="left"/>
        <w:rPr>
          <w:sz w:val="30"/>
        </w:rPr>
      </w:pPr>
      <w:r>
        <w:rPr>
          <w:rStyle w:val="CharStyle3"/>
        </w:rPr>
        <w:footnoteRef/>
      </w:r>
      <w:r>
        <w:rPr>
          <w:rStyle w:val="CharStyle3"/>
          <w:sz w:val="30"/>
          <w:vertAlign w:val="subscript"/>
        </w:rPr>
        <w:t>Id.</w:t>
      </w:r>
    </w:p>
  </w:footnote>
  <w:footnote w:id="422">
    <w:p>
      <w:pPr>
        <w:pStyle w:val="Style2"/>
        <w:keepNext w:val="0"/>
        <w:keepLines w:val="0"/>
        <w:widowControl w:val="0"/>
        <w:shd w:val="clear" w:color="auto" w:fill="auto"/>
        <w:spacing w:before="0" w:after="0" w:line="240" w:lineRule="auto"/>
        <w:ind w:left="0" w:right="0" w:firstLine="0"/>
        <w:jc w:val="left"/>
      </w:pPr>
      <w:r>
        <w:rPr>
          <w:rStyle w:val="CharStyle3"/>
        </w:rPr>
        <w:t>Morens</w:t>
        <w:footnoteRef/>
        <w:t xml:space="preserve"> Audition, à 5-6.</w:t>
      </w:r>
    </w:p>
  </w:footnote>
  <w:footnote w:id="42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18 U.S.C. § 1001.</w:t>
      </w:r>
    </w:p>
  </w:footnote>
  <w:footnote w:id="42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États-Unis c. Bowser, 318 F. Supp. 3d 154, 171 (D.D.C. 17 juillet 2018) (énonçant les éléments de la loi).</w:t>
      </w:r>
    </w:p>
  </w:footnote>
  <w:footnote w:id="42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Morens TI 2, à 15.</w:t>
      </w:r>
    </w:p>
  </w:footnote>
  <w:footnote w:id="426">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42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Id. à 16.</w:t>
      </w:r>
    </w:p>
  </w:footnote>
  <w:footnote w:id="42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Morens TI 2, à 60.</w:t>
      </w:r>
    </w:p>
  </w:footnote>
  <w:footnote w:id="429">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 w:id="430">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footnoteRef/>
        <w:t xml:space="preserve">Morens TI 2, à 51.</w:t>
      </w:r>
    </w:p>
  </w:footnote>
  <w:footnote w:id="43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Morens TI 2, à 136.</w:t>
      </w:r>
    </w:p>
  </w:footnote>
  <w:footnote w:id="43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Morens TI 2, à 51.</w:t>
      </w:r>
    </w:p>
  </w:footnote>
  <w:footnote w:id="433">
    <w:p>
      <w:pPr>
        <w:pStyle w:val="Style2"/>
        <w:keepNext w:val="0"/>
        <w:keepLines w:val="0"/>
        <w:widowControl w:val="0"/>
        <w:pBdr>
          <w:top w:val="single" w:sz="4" w:space="0" w:color="auto"/>
        </w:pBdr>
        <w:shd w:val="clear" w:color="auto" w:fill="auto"/>
        <w:spacing w:before="0" w:after="0" w:line="240" w:lineRule="auto"/>
        <w:ind w:left="0" w:right="0" w:firstLine="0"/>
        <w:jc w:val="left"/>
      </w:pPr>
      <w:r>
        <w:rPr>
          <w:rStyle w:val="CharStyle3"/>
        </w:rPr>
        <w:t>Ordre</w:t>
        <w:footnoteRef/>
        <w:t xml:space="preserve"> du 25 mars</w:t>
      </w:r>
    </w:p>
  </w:footnote>
  <w:footnote w:id="43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Cuomo TI, point 129; Zucker TI, à 90-91.</w:t>
      </w:r>
    </w:p>
  </w:footnote>
  <w:footnote w:id="43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Richard Azzopardi à Kyle Kotary et al. (10 juillet 2020, 12h27).</w:t>
      </w:r>
    </w:p>
  </w:footnote>
  <w:footnote w:id="43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Matt Sedensky, Cuomo Exit Isn’t Stopping Push For Answers on Nursing Homes, NBC </w:t>
      </w:r>
      <w:r>
        <w:rPr>
          <w:rStyle w:val="CharStyle3"/>
          <w:smallCaps/>
        </w:rPr>
        <w:t>N</w:t>
      </w:r>
      <w:r>
        <w:rPr>
          <w:rStyle w:val="CharStyle3"/>
          <w:smallCaps/>
          <w:sz w:val="15"/>
        </w:rPr>
        <w:t xml:space="preserve">ew </w:t>
      </w:r>
      <w:r>
        <w:rPr>
          <w:rStyle w:val="CharStyle3"/>
          <w:smallCaps/>
        </w:rPr>
        <w:t>Y</w:t>
      </w:r>
      <w:r>
        <w:rPr>
          <w:rStyle w:val="CharStyle3"/>
          <w:smallCaps/>
          <w:sz w:val="15"/>
        </w:rPr>
        <w:t>ork</w:t>
      </w:r>
      <w:r>
        <w:rPr>
          <w:rStyle w:val="CharStyle3"/>
        </w:rPr>
        <w:t xml:space="preserve"> (13 août 2021).</w:t>
      </w:r>
    </w:p>
  </w:footnote>
  <w:footnote w:id="43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Brad Wenstrup, D.P.M., président, H. Select Subcomm. sur la pandémie de coronavirus &amp; Nicole Malliotakis, membre du Congrès, à Kathy Hochul, gouverneure de New York (19 mai 2023); Lettre de Brad Wenstrup, D.P.M., président, H. Select Subcomm. sur la pandémie de coronavirus, à Phil Murphy, gouverneur du New Jersey (19 mai 2023); Lettre de Brad Wenstrup, D.P.M., président, H. Select Subcomm. sur la pandémie de coronavirus &amp; John Joyce, M.D., membre du Congrès, à Josh Shapiro, gouverneur de Pennsylvanie (19 mai 2023).</w:t>
      </w:r>
    </w:p>
  </w:footnote>
  <w:footnote w:id="43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Brad Wenstrup, D.P.M., président, H. Select Subcomm. sur la pandémie de coronavirus &amp; Nicole Malliotakis, membre du Congrès, à Kathy Hochul, gouverneure de New York (10 octobre 2023); L’avocat du département de la santé de l’État de New York a déclaré qu’il avait remis un ensemble de documents réactifs au sous-comité restreint le 2 juin 2023 par l’intermédiaire de FedEx. Le sous-comité restreint n'a jamais reçu cette production.</w:t>
      </w:r>
    </w:p>
  </w:footnote>
  <w:footnote w:id="43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Brad Wenstrup, D.P.M., président, H. Select Subcomm. sur la pandémie de coronavirus &amp; Nicole Malliotakis, membre du Congrès, à Kathy Hochul, gouverneure de New York (6 novembre 2023).</w:t>
      </w:r>
    </w:p>
  </w:footnote>
  <w:footnote w:id="44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Brad Wenstrup, D.P.M., président, H. Select Subcomm. sur la pandémie de coronavirus, à Kathy Hochul, gouverneure de New York (10 septembre 2024).</w:t>
      </w:r>
    </w:p>
  </w:footnote>
  <w:footnote w:id="44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Stephen M. Juris, Counsel, Chambre exécutive de New York, à Mitchell Benzine, Staff Dir., Select Subcomm. on the Coronavirus Pandemic, H. Comm. on Oversight &amp; Accountability (16 janvier 2024).</w:t>
      </w:r>
    </w:p>
  </w:footnote>
  <w:footnote w:id="44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Select Subcomm. sur la pandémie de coronavirus, H. Comm. on Oversight &amp; Accountability Staff à Stephen M. Juris, avocat, Chambre exécutive de New York (14 février 2024, 14 h 34).</w:t>
      </w:r>
    </w:p>
  </w:footnote>
  <w:footnote w:id="443">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Stephen M. Juris, avocat, Chambre exécutive de New York, à Select Subcomm. on the Coronavirus Pandemic, H. Comm. on Oversight &amp; Accountability Staff (24 avril 2024, 16 h 21).</w:t>
      </w:r>
    </w:p>
  </w:footnote>
  <w:footnote w:id="44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Lettre de Stephen M. Juris, avocat, New York Executive Chamber, à Mitchell Benzine, Staff Dir., Select</w:t>
      </w:r>
    </w:p>
  </w:footnote>
  <w:footnote w:id="445">
    <w:p>
      <w:pPr>
        <w:pStyle w:val="Style2"/>
        <w:keepNext w:val="0"/>
        <w:keepLines w:val="0"/>
        <w:widowControl w:val="0"/>
        <w:shd w:val="clear" w:color="auto" w:fill="auto"/>
        <w:spacing w:before="0" w:after="0" w:line="240" w:lineRule="auto"/>
        <w:ind w:left="0" w:right="0" w:firstLine="0"/>
        <w:jc w:val="left"/>
      </w:pPr>
      <w:r>
        <w:rPr>
          <w:rStyle w:val="CharStyle3"/>
        </w:rPr>
        <w:t xml:space="preserve">Sous-comm. on the Coronavirus Pandemic, H. Comm. on Oversight &amp; Accountability (24 septembre 2024).</w:t>
      </w:r>
    </w:p>
  </w:footnote>
  <w:footnote w:id="446">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NYSEC_SUBCOMM_00374006; NYSEC_SUBCOMM_00374007; NYSEC_SUBCOMM_00374047;</w:t>
      </w:r>
    </w:p>
    <w:p>
      <w:pPr>
        <w:pStyle w:val="Style2"/>
        <w:keepNext w:val="0"/>
        <w:keepLines w:val="0"/>
        <w:widowControl w:val="0"/>
        <w:shd w:val="clear" w:color="auto" w:fill="auto"/>
        <w:spacing w:before="0" w:after="0" w:line="240" w:lineRule="auto"/>
        <w:ind w:left="0" w:right="0" w:firstLine="0"/>
        <w:jc w:val="left"/>
      </w:pPr>
      <w:r>
        <w:rPr>
          <w:rStyle w:val="CharStyle3"/>
        </w:rPr>
        <w:t>NYSEC_SUBCOMM_00374053.</w:t>
      </w:r>
    </w:p>
  </w:footnote>
  <w:footnote w:id="44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NYSEC_SUBCOMM_00374006-07; NYSEC_SUBCOMM_00374007; NYSEC_SUBCOMM_00374030; NYSEC_SUBCOMM_00374032; NYSEC_SUBCOMM_00374042-43; NYSEC_SUBCOMM_00374046-47.</w:t>
      </w:r>
    </w:p>
    <w:p>
      <w:pPr>
        <w:pStyle w:val="Style2"/>
        <w:keepNext w:val="0"/>
        <w:keepLines w:val="0"/>
        <w:widowControl w:val="0"/>
        <w:shd w:val="clear" w:color="auto" w:fill="auto"/>
        <w:spacing w:before="0" w:after="0" w:line="240" w:lineRule="auto"/>
        <w:ind w:left="0" w:right="0" w:firstLine="0"/>
        <w:jc w:val="left"/>
      </w:pPr>
      <w:r>
        <w:rPr>
          <w:rStyle w:val="CharStyle3"/>
        </w:rPr>
        <w:t>NYSEC_SUBCOMM_00374052-53.</w:t>
      </w:r>
    </w:p>
  </w:footnote>
  <w:footnote w:id="44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NYSEC_SUBCOMM_00374009 (Courriel de Michael Dowling, Northwell Health, à Melissa DeRosa, secrétaire du gouverneur de l'État de New York (30 juin 2020)).</w:t>
      </w:r>
    </w:p>
  </w:footnote>
  <w:footnote w:id="44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NYSEC_SUBCOMM_00374009 (Courriel de David Grabowski, professeur à Harvard, à Melissa DeRosa, secrétaire du gouverneur de l'État de New York (5 juillet 2020)).</w:t>
      </w:r>
    </w:p>
  </w:footnote>
  <w:footnote w:id="45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NYSEC_SUBCOMM_00374030; NYSEC_SUBCOMM_00374037; NYSEC_SUBCOMM_00374039-40.</w:t>
      </w:r>
    </w:p>
  </w:footnote>
  <w:footnote w:id="45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Le privilège du processus délibératif sert à « protéger le processus délibératif du gouvernement en veillant à ce que les personnes exerçant un rôle consultatif soient en mesure d’exprimer librement leurs opinions aux décideurs des agences ». Affaire Moody’s Corp. &amp;amp ; Subsidiaries v New York State Dept. of Taxation &amp;amp ; Fin., 35 N.Y.S.3d 785, 790 (N.Y. App. Div.</w:t>
      </w:r>
    </w:p>
    <w:p>
      <w:pPr>
        <w:pStyle w:val="Style2"/>
        <w:keepNext w:val="0"/>
        <w:keepLines w:val="0"/>
        <w:widowControl w:val="0"/>
        <w:shd w:val="clear" w:color="auto" w:fill="auto"/>
        <w:spacing w:before="0" w:after="0" w:line="240" w:lineRule="auto"/>
        <w:ind w:left="0" w:right="0" w:firstLine="0"/>
        <w:jc w:val="left"/>
      </w:pPr>
      <w:r>
        <w:rPr>
          <w:rStyle w:val="CharStyle3"/>
        </w:rPr>
        <w:t xml:space="preserve">2016) (les guillemets internes, les crochets et les citations ont été omis). Elle s’applique aux documents « délibératifs », c’est-à-dire aux « communications échangées à des fins de discussion ne constituant pas des décisions politiques finales ». Id., p. 1001 (entre guillemets internes et citations omises).</w:t>
      </w:r>
    </w:p>
  </w:footnote>
  <w:footnote w:id="45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Affaire Xerox Corp. c. Town of Webster, 490 N.Y.S.2d 488 (N.Y. 1985).</w:t>
      </w:r>
    </w:p>
  </w:footnote>
  <w:footnote w:id="453">
    <w:p>
      <w:pPr>
        <w:pStyle w:val="Style2"/>
        <w:keepNext w:val="0"/>
        <w:keepLines w:val="0"/>
        <w:widowControl w:val="0"/>
        <w:shd w:val="clear" w:color="auto" w:fill="auto"/>
        <w:spacing w:before="0" w:after="0" w:line="240" w:lineRule="auto"/>
        <w:ind w:left="0" w:right="0" w:firstLine="0"/>
        <w:jc w:val="left"/>
      </w:pPr>
      <w:r>
        <w:rPr>
          <w:rStyle w:val="CharStyle3"/>
        </w:rPr>
        <w:footnoteRef/>
        <w:t>NYSEC_SUBCOMM_00374033.</w:t>
      </w:r>
    </w:p>
  </w:footnote>
  <w:footnote w:id="454">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Lacewell TI.</w:t>
      </w:r>
    </w:p>
  </w:footnote>
  <w:footnote w:id="45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Lacewell TI, à 11 h.</w:t>
      </w:r>
    </w:p>
    <w:p>
      <w:pPr>
        <w:pStyle w:val="Style2"/>
        <w:keepNext w:val="0"/>
        <w:keepLines w:val="0"/>
        <w:widowControl w:val="0"/>
        <w:shd w:val="clear" w:color="auto" w:fill="auto"/>
        <w:spacing w:before="0" w:after="0" w:line="262" w:lineRule="auto"/>
        <w:ind w:left="0" w:right="0" w:firstLine="740"/>
        <w:jc w:val="left"/>
        <w:rPr>
          <w:sz w:val="22"/>
        </w:rPr>
      </w:pPr>
      <w:r>
        <w:rPr>
          <w:rStyle w:val="CharStyle3"/>
          <w:sz w:val="22"/>
        </w:rPr>
        <w:t xml:space="preserve">Lorsque le sous-comité restreint a demandé à la chambre exécutive d’expliquer comment ce courriel était protégé contre la divulgation par le secret professionnel de l’avocat, son conseil a déclaré que les numéros «4» et «5» étaient des communications d’avocat, mais que la principale raison de la retenue était le processus délibératif. Ni le chiffre «4» ni le chiffre «5» ne semblent relever du secret professionnel puisqu’il ne s’agit pas clairement de conseils juridiques. En outre, l’auteur de ce</w:t>
        <w:softHyphen/>
        <w:t xml:space="preserve">courrier électronique l’a marqué comme «produit de travail d’avocat», ce qui se distingue du secret professionnel de l’avocat. Pour que le produit de travail de l'avocat s'applique, cet e-mail doit avoir été préparé lors d'un litige réel ou en prévision d'un litige potentiel. L'État de New York n'a jamais pris le</w:t>
      </w:r>
    </w:p>
  </w:footnote>
  <w:footnote w:id="456">
    <w:p>
      <w:pPr>
        <w:pStyle w:val="Style2"/>
        <w:keepNext w:val="0"/>
        <w:keepLines w:val="0"/>
        <w:widowControl w:val="0"/>
        <w:shd w:val="clear" w:color="auto" w:fill="auto"/>
        <w:spacing w:before="0" w:after="0" w:line="240" w:lineRule="auto"/>
        <w:ind w:left="0" w:right="0" w:firstLine="0"/>
        <w:jc w:val="left"/>
      </w:pPr>
      <w:r>
        <w:rPr>
          <w:rStyle w:val="CharStyle3"/>
        </w:rPr>
        <w:t>Interview</w:t>
        <w:footnoteRef/>
        <w:t xml:space="preserve"> transcrite de Linda Lacewell, par H. Select Subcomm. sur le personnel de la pandémie de coronavirus (mai. 31, 2024) [ci-après Lacewell TI].</w:t>
      </w:r>
    </w:p>
  </w:footnote>
  <w:footnote w:id="457">
    <w:p>
      <w:pPr>
        <w:pStyle w:val="Style2"/>
        <w:keepNext w:val="0"/>
        <w:keepLines w:val="0"/>
        <w:widowControl w:val="0"/>
        <w:shd w:val="clear" w:color="auto" w:fill="auto"/>
        <w:spacing w:before="0" w:after="0" w:line="240" w:lineRule="auto"/>
        <w:ind w:left="0" w:right="0" w:firstLine="0"/>
        <w:jc w:val="left"/>
      </w:pPr>
      <w:r>
        <w:rPr>
          <w:rStyle w:val="CharStyle3"/>
        </w:rPr>
        <w:t>Interview</w:t>
        <w:footnoteRef/>
        <w:t xml:space="preserve"> transcrite d'Andrew Cuomo, ancien gouverneur de New York, par H. Select Subcomm. sur le personnel de la pandémie de coronavirus (10 juin 2024) [ci-après Cuomo TI].</w:t>
      </w:r>
    </w:p>
  </w:footnote>
  <w:footnote w:id="458">
    <w:p>
      <w:pPr>
        <w:pStyle w:val="Style2"/>
        <w:keepNext w:val="0"/>
        <w:keepLines w:val="0"/>
        <w:widowControl w:val="0"/>
        <w:shd w:val="clear" w:color="auto" w:fill="auto"/>
        <w:spacing w:before="0" w:after="0" w:line="240" w:lineRule="auto"/>
        <w:ind w:left="0" w:right="0" w:firstLine="0"/>
        <w:jc w:val="left"/>
      </w:pPr>
      <w:r>
        <w:rPr>
          <w:rStyle w:val="CharStyle3"/>
        </w:rPr>
        <w:t>Interview</w:t>
        <w:footnoteRef/>
        <w:t xml:space="preserve"> transcrite de Melissa DeRosa, par H. Select Subcomm. sur le personnel de la pandémie de coronavirus (21 juin 2024).</w:t>
      </w:r>
    </w:p>
  </w:footnote>
  <w:footnote w:id="459">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À compter du 4 décembre 2024, la Chambre exécutive a identifié des messages PIN BlackBerry supplémentaires provenant d'autres dépositaires et datant du début de la pandémie de COVID-19 et a déclaré son intention de produire des messages PIN BlackBerry supplémentaires au sous-comité restreint.</w:t>
      </w:r>
    </w:p>
  </w:footnote>
  <w:footnote w:id="460">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Courriel de Stephen Juris, avocat, Chambre exécutive, État de New York, à Select Subcomm. Personnel (9 novembre 2024, 12h51).</w:t>
      </w:r>
    </w:p>
  </w:footnote>
  <w:footnote w:id="461">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Supra, n° 1.</w:t>
      </w:r>
    </w:p>
  </w:footnote>
  <w:footnote w:id="462">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NYSEC_SUBCOMM_00063814 (Courriel de Joseph Popcun, Département d'État, État de New York, à Beth Garvey, Conseillère spéciale du Gouverneur, État de New York, et al. (25 mars 2020)).</w:t>
      </w:r>
    </w:p>
  </w:footnote>
  <w:footnote w:id="463">
    <w:p>
      <w:pPr>
        <w:pStyle w:val="Style2"/>
        <w:keepNext w:val="0"/>
        <w:keepLines w:val="0"/>
        <w:widowControl w:val="0"/>
        <w:shd w:val="clear" w:color="auto" w:fill="auto"/>
        <w:spacing w:before="0" w:after="0" w:line="240" w:lineRule="auto"/>
        <w:ind w:left="0" w:right="0" w:firstLine="0"/>
        <w:jc w:val="left"/>
      </w:pPr>
      <w:r>
        <w:rPr>
          <w:rStyle w:val="CharStyle3"/>
        </w:rPr>
        <w:footnoteRef/>
        <w:t>NYSEC_SUBCOMM_00374049.</w:t>
      </w:r>
    </w:p>
  </w:footnote>
  <w:footnote w:id="464">
    <w:p>
      <w:pPr>
        <w:pStyle w:val="Style2"/>
        <w:keepNext w:val="0"/>
        <w:keepLines w:val="0"/>
        <w:widowControl w:val="0"/>
        <w:shd w:val="clear" w:color="auto" w:fill="auto"/>
        <w:spacing w:before="0" w:after="0" w:line="240" w:lineRule="auto"/>
        <w:ind w:left="0" w:right="0" w:firstLine="0"/>
        <w:jc w:val="left"/>
      </w:pPr>
      <w:r>
        <w:rPr>
          <w:rStyle w:val="CharStyle3"/>
        </w:rPr>
        <w:t xml:space="preserve">Département de la santé de l’État de</w:t>
        <w:footnoteRef/>
        <w:t xml:space="preserve"> New York, Factors Associated with Nursing Home Infections and Fatalities in New York State During the COVID-19 Global Health Crisis, (6 juillet 2020), disponible à l’adresse </w:t>
      </w:r>
      <w:r>
        <w:fldChar w:fldCharType="begin"/>
      </w:r>
      <w:r>
        <w:rPr/>
        <w:instrText> HYPERLINK "https://health.ny.gov/press/releases/2020/docs/nh_factors_report.pdf" </w:instrText>
      </w:r>
      <w:r>
        <w:fldChar w:fldCharType="separate"/>
      </w:r>
      <w:r>
        <w:rPr>
          <w:rStyle w:val="CharStyle3"/>
        </w:rPr>
        <w:t>https://health.ny.gov/press/releases/2020/docs/nh_factors_report.pdf</w:t>
      </w:r>
      <w:r>
        <w:fldChar w:fldCharType="end"/>
      </w:r>
      <w:r>
        <w:rPr>
          <w:rStyle w:val="CharStyle3"/>
        </w:rPr>
        <w:t>.</w:t>
      </w:r>
    </w:p>
  </w:footnote>
  <w:footnote w:id="465">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NYSEC_SUBCOMM_00374008-14; NYSEC_SUBCOMM_00374030; NYSEC_SUBCOMM_00374032;</w:t>
      </w:r>
    </w:p>
    <w:p>
      <w:pPr>
        <w:pStyle w:val="Style2"/>
        <w:keepNext w:val="0"/>
        <w:keepLines w:val="0"/>
        <w:widowControl w:val="0"/>
        <w:shd w:val="clear" w:color="auto" w:fill="auto"/>
        <w:spacing w:before="0" w:after="0" w:line="240" w:lineRule="auto"/>
        <w:ind w:left="0" w:right="0" w:firstLine="0"/>
        <w:jc w:val="left"/>
      </w:pPr>
      <w:r>
        <w:rPr>
          <w:rStyle w:val="CharStyle3"/>
        </w:rPr>
        <w:t xml:space="preserve">NYSEC_SUBCOMM_00374033; NYSEC_SUBCOMM_00374035-40; NYSEC_SUBCOMM_00374049;</w:t>
      </w:r>
    </w:p>
    <w:p>
      <w:pPr>
        <w:pStyle w:val="Style2"/>
        <w:keepNext w:val="0"/>
        <w:keepLines w:val="0"/>
        <w:widowControl w:val="0"/>
        <w:shd w:val="clear" w:color="auto" w:fill="auto"/>
        <w:spacing w:before="0" w:after="0" w:line="240" w:lineRule="auto"/>
        <w:ind w:left="0" w:right="0" w:firstLine="0"/>
        <w:jc w:val="left"/>
      </w:pPr>
      <w:r>
        <w:rPr>
          <w:rStyle w:val="CharStyle3"/>
        </w:rPr>
        <w:t xml:space="preserve">NYSEC_SUBCOMM_00374057-62; NYSEC_SUBCOMM_00374068; NYSEC_SUBCOMM_00374070-71;</w:t>
      </w:r>
    </w:p>
    <w:p>
      <w:pPr>
        <w:pStyle w:val="Style2"/>
        <w:keepNext w:val="0"/>
        <w:keepLines w:val="0"/>
        <w:widowControl w:val="0"/>
        <w:shd w:val="clear" w:color="auto" w:fill="auto"/>
        <w:spacing w:before="0" w:after="0" w:line="240" w:lineRule="auto"/>
        <w:ind w:left="0" w:right="0" w:firstLine="0"/>
        <w:jc w:val="left"/>
      </w:pPr>
      <w:r>
        <w:rPr>
          <w:rStyle w:val="CharStyle3"/>
        </w:rPr>
        <w:t xml:space="preserve">NYSEC_SUBCOMM_00374076; NYSEC_SUBCOMM_00374078.</w:t>
      </w:r>
    </w:p>
  </w:footnote>
  <w:footnote w:id="466">
    <w:p>
      <w:pPr>
        <w:pStyle w:val="Style2"/>
        <w:keepNext w:val="0"/>
        <w:keepLines w:val="0"/>
        <w:widowControl w:val="0"/>
        <w:shd w:val="clear" w:color="auto" w:fill="auto"/>
        <w:spacing w:before="0" w:after="0" w:line="180" w:lineRule="auto"/>
        <w:ind w:left="0" w:right="0" w:firstLine="0"/>
        <w:jc w:val="left"/>
        <w:rPr>
          <w:sz w:val="30"/>
        </w:rPr>
      </w:pPr>
      <w:r>
        <w:rPr>
          <w:rStyle w:val="CharStyle3"/>
        </w:rPr>
        <w:footnoteRef/>
      </w:r>
      <w:r>
        <w:rPr>
          <w:rStyle w:val="CharStyle3"/>
          <w:sz w:val="30"/>
          <w:vertAlign w:val="subscript"/>
        </w:rPr>
        <w:t>Id.</w:t>
      </w:r>
    </w:p>
  </w:footnote>
  <w:footnote w:id="467">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supra, n° 11.</w:t>
      </w:r>
    </w:p>
  </w:footnote>
  <w:footnote w:id="468">
    <w:p>
      <w:pPr>
        <w:pStyle w:val="Style2"/>
        <w:keepNext w:val="0"/>
        <w:keepLines w:val="0"/>
        <w:widowControl w:val="0"/>
        <w:shd w:val="clear" w:color="auto" w:fill="auto"/>
        <w:spacing w:before="0" w:after="0" w:line="240" w:lineRule="auto"/>
        <w:ind w:left="0" w:right="0" w:firstLine="0"/>
        <w:jc w:val="left"/>
      </w:pPr>
      <w:r>
        <w:rPr>
          <w:rStyle w:val="CharStyle3"/>
        </w:rPr>
        <w:footnoteRef/>
        <w:t xml:space="preserve">Voir supra, n° 9.</w:t>
      </w:r>
    </w:p>
  </w:footnote>
  <w:footnote w:id="469">
    <w:p>
      <w:pPr>
        <w:pStyle w:val="Style2"/>
        <w:keepNext w:val="0"/>
        <w:keepLines w:val="0"/>
        <w:widowControl w:val="0"/>
        <w:shd w:val="clear" w:color="auto" w:fill="auto"/>
        <w:spacing w:before="0" w:after="0" w:line="240" w:lineRule="auto"/>
        <w:ind w:left="0" w:right="0" w:firstLine="0"/>
        <w:jc w:val="left"/>
      </w:pPr>
      <w:r>
        <w:rPr>
          <w:rStyle w:val="CharStyle3"/>
        </w:rPr>
        <w:footnoteRef/>
        <w:t>NYSEC_SUBCOMM_00374014.</w:t>
      </w:r>
    </w:p>
  </w:footnote>
  <w:footnote w:id="470">
    <w:p>
      <w:pPr>
        <w:pStyle w:val="Style2"/>
        <w:keepNext w:val="0"/>
        <w:keepLines w:val="0"/>
        <w:widowControl w:val="0"/>
        <w:shd w:val="clear" w:color="auto" w:fill="auto"/>
        <w:spacing w:before="0" w:after="0" w:line="240" w:lineRule="auto"/>
        <w:ind w:left="0" w:right="0" w:firstLine="0"/>
        <w:jc w:val="left"/>
      </w:pPr>
      <w:r>
        <w:rPr>
          <w:rStyle w:val="CharStyle3"/>
        </w:rPr>
        <w:footnoteRef/>
        <w:t>Id.</w:t>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2">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4">
    <w:multiLevelType w:val="multilevel"/>
    <w:lvl w:ilvl="0">
      <w:start w:val="1"/>
      <w:numFmt w:val="upperRoman"/>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464648"/>
        <w:spacing w:val="0"/>
        <w:w w:val="100"/>
        <w:position w:val="0"/>
        <w:sz w:val="16"/>
        <w:szCs w:val="16"/>
        <w:u w:val="none"/>
        <w:shd w:val="clear" w:color="auto" w:fill="auto"/>
        <w:lang w:val="en-US" w:eastAsia="en-US" w:bidi="en-US"/>
      </w:rPr>
    </w:lvl>
  </w:abstractNum>
  <w:abstractNum w:abstractNumId="8">
    <w:multiLevelType w:val="multilevel"/>
    <w:lvl w:ilvl="0">
      <w:start w:val="2"/>
      <w:numFmt w:val="upperRoman"/>
      <w:lvlText w:val="%1."/>
      <w:rPr>
        <w:rFonts w:ascii="Times New Roman" w:eastAsia="Times New Roman" w:hAnsi="Times New Roman" w:cs="Times New Roman"/>
        <w:b w:val="0"/>
        <w:bCs w:val="0"/>
        <w:i w:val="0"/>
        <w:iCs w:val="0"/>
        <w:smallCaps w:val="0"/>
        <w:strike w:val="0"/>
        <w:color w:val="303030"/>
        <w:spacing w:val="0"/>
        <w:w w:val="100"/>
        <w:position w:val="0"/>
        <w:sz w:val="22"/>
        <w:szCs w:val="22"/>
        <w:u w:val="none"/>
        <w:shd w:val="clear" w:color="auto" w:fill="auto"/>
        <w:lang w:val="en-US" w:eastAsia="en-US" w:bidi="en-US"/>
      </w:rPr>
    </w:lvl>
  </w:abstractNum>
  <w:abstractNum w:abstractNumId="1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2">
    <w:multiLevelType w:val="multilevel"/>
    <w:lvl w:ilvl="0">
      <w:start w:val="1"/>
      <w:numFmt w:val="bullet"/>
      <w:lvlText w:val="•"/>
      <w:rPr>
        <w:rFonts w:ascii="Times New Roman" w:eastAsia="Times New Roman" w:hAnsi="Times New Roman" w:cs="Times New Roman"/>
        <w:b w:val="0"/>
        <w:bCs w:val="0"/>
        <w:i w:val="0"/>
        <w:iCs w:val="0"/>
        <w:smallCaps w:val="0"/>
        <w:strike w:val="0"/>
        <w:color w:val="303030"/>
        <w:spacing w:val="0"/>
        <w:w w:val="100"/>
        <w:position w:val="0"/>
        <w:sz w:val="16"/>
        <w:szCs w:val="16"/>
        <w:u w:val="none"/>
        <w:shd w:val="clear" w:color="auto" w:fill="auto"/>
        <w:lang w:val="en-US" w:eastAsia="en-US" w:bidi="en-US"/>
      </w:rPr>
    </w:lvl>
  </w:abstractNum>
  <w:abstractNum w:abstractNumId="14">
    <w:multiLevelType w:val="multilevel"/>
    <w:lvl w:ilvl="0">
      <w:start w:val="1"/>
      <w:numFmt w:val="bullet"/>
      <w:lvlText w:val="•"/>
      <w:rPr>
        <w:rFonts w:ascii="Times New Roman" w:eastAsia="Times New Roman" w:hAnsi="Times New Roman" w:cs="Times New Roman"/>
        <w:b w:val="0"/>
        <w:bCs w:val="0"/>
        <w:i w:val="0"/>
        <w:iCs w:val="0"/>
        <w:smallCaps w:val="0"/>
        <w:strike w:val="0"/>
        <w:color w:val="303030"/>
        <w:spacing w:val="0"/>
        <w:w w:val="100"/>
        <w:position w:val="0"/>
        <w:sz w:val="16"/>
        <w:szCs w:val="16"/>
        <w:u w:val="none"/>
        <w:shd w:val="clear" w:color="auto" w:fill="auto"/>
        <w:lang w:val="en-US" w:eastAsia="en-US" w:bidi="en-US"/>
      </w:rPr>
    </w:lvl>
  </w:abstractNum>
  <w:abstractNum w:abstractNumId="16">
    <w:multiLevelType w:val="multilevel"/>
    <w:lvl w:ilvl="0">
      <w:start w:val="1"/>
      <w:numFmt w:val="decimal"/>
      <w:lvlText w:val="%1."/>
      <w:rPr>
        <w:rFonts w:ascii="Times New Roman" w:eastAsia="Times New Roman" w:hAnsi="Times New Roman" w:cs="Times New Roman"/>
        <w:b w:val="0"/>
        <w:bCs w:val="0"/>
        <w:i w:val="0"/>
        <w:iCs w:val="0"/>
        <w:smallCaps w:val="0"/>
        <w:strike w:val="0"/>
        <w:color w:val="303030"/>
        <w:spacing w:val="0"/>
        <w:w w:val="100"/>
        <w:position w:val="0"/>
        <w:sz w:val="20"/>
        <w:szCs w:val="20"/>
        <w:u w:val="none"/>
        <w:shd w:val="clear" w:color="auto" w:fill="auto"/>
        <w:lang w:val="en-US" w:eastAsia="en-US" w:bidi="en-US"/>
      </w:rPr>
    </w:lvl>
  </w:abstractNum>
  <w:abstractNum w:abstractNumId="18">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0">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22">
    <w:multiLevelType w:val="multilevel"/>
    <w:lvl w:ilvl="0">
      <w:start w:val="1"/>
      <w:numFmt w:val="decimal"/>
      <w:lvlText w:val="%1-"/>
      <w:rPr>
        <w:rFonts w:ascii="Times New Roman" w:eastAsia="Times New Roman" w:hAnsi="Times New Roman" w:cs="Times New Roman"/>
        <w:b w:val="0"/>
        <w:bCs w:val="0"/>
        <w:i w:val="0"/>
        <w:iCs w:val="0"/>
        <w:smallCaps w:val="0"/>
        <w:strike w:val="0"/>
        <w:color w:val="303030"/>
        <w:spacing w:val="0"/>
        <w:w w:val="100"/>
        <w:position w:val="0"/>
        <w:sz w:val="20"/>
        <w:szCs w:val="20"/>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updateFields w:val="true"/>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pPrDefault>
      <w:pPr>
        <w:keepNext w:val="0"/>
        <w:keepLines w:val="0"/>
        <w:widowControl w:val="0"/>
        <w:shd w:val="clear" w:color="auto" w:fill="auto"/>
        <w:spacing w:before="0" w:after="0" w:line="240" w:lineRule="auto"/>
        <w:ind w:left="0" w:right="0" w:firstLine="0"/>
        <w:jc w:val="left"/>
      </w:pPr>
    </w:pPrDefault>
    <w:rPrDefault>
      <w:rPr>
        <w:rFonts w:ascii="Times New Roman" w:hAnsi="Times New Roman" w:cs="Times New Roman" w:eastAsia="Times New Roman"/>
        <w:sz w:val="24"/>
        <w:lang w:val="fr"/>
      </w:rPr>
    </w:rPrDefault>
  </w:docDefaults>
  <w:style w:type="paragraph" w:default="1" w:styleId="Normal">
    <w:name w:val="Normal"/>
    <w:pPr>
      <w:keepNext w:val="0"/>
      <w:keepLines w:val="0"/>
      <w:widowControl w:val="0"/>
      <w:shd w:val="clear" w:color="auto" w:fill="auto"/>
      <w:spacing w:before="0" w:after="0" w:line="240" w:lineRule="auto"/>
      <w:ind w:left="0" w:right="0" w:firstLine="0"/>
      <w:jc w:val="left"/>
    </w:pPr>
    <w:rPr>
      <w:rFonts w:ascii="Times New Roman" w:hAnsi="Times New Roman" w:cs="Times New Roman" w:eastAsia="Times New Roman"/>
      <w:color w:val="000000"/>
      <w:position w:val="0"/>
      <w:sz w:val="24"/>
      <w:shd w:val="clear" w:color="auto" w:fill="auto"/>
    </w:rPr>
  </w:style>
  <w:style w:type="character" w:default="1" w:styleId="DefaultParagraphFont">
    <w:name w:val="Default Paragraph Font"/>
    <w:rPr>
      <w:rFonts w:ascii="Times New Roman" w:hAnsi="Times New Roman" w:cs="Times New Roman" w:eastAsia="Times New Roman"/>
      <w:color w:val="000000"/>
      <w:position w:val="0"/>
      <w:sz w:val="24"/>
      <w:shd w:val="clear" w:color="auto" w:fill="auto"/>
    </w:rPr>
  </w:style>
  <w:style w:type="character" w:customStyle="1" w:styleId="CharStyle3">
    <w:name w:val="Footnote|1_"/>
    <w:basedOn w:val="DefaultParagraphFont"/>
    <w:link w:val="Style2"/>
    <w:rPr>
      <w:b w:val="0"/>
      <w:i w:val="0"/>
      <w:smallCaps w:val="0"/>
      <w:strike w:val="0"/>
      <w:sz w:val="20"/>
      <w:u w:val="none"/>
    </w:rPr>
  </w:style>
  <w:style w:type="character" w:customStyle="1" w:styleId="CharStyle19">
    <w:name w:val="Other|1_"/>
    <w:basedOn w:val="DefaultParagraphFont"/>
    <w:link w:val="Style18"/>
    <w:rPr>
      <w:b w:val="0"/>
      <w:i w:val="0"/>
      <w:smallCaps w:val="0"/>
      <w:strike w:val="0"/>
      <w:sz w:val="22"/>
      <w:u w:val="none"/>
    </w:rPr>
  </w:style>
  <w:style w:type="character" w:customStyle="1" w:styleId="CharStyle22">
    <w:name w:val="Header or footer|2_"/>
    <w:basedOn w:val="DefaultParagraphFont"/>
    <w:link w:val="Style21"/>
    <w:rPr>
      <w:b w:val="0"/>
      <w:i w:val="0"/>
      <w:smallCaps w:val="0"/>
      <w:strike w:val="0"/>
      <w:sz w:val="20"/>
      <w:u w:val="none"/>
    </w:rPr>
  </w:style>
  <w:style w:type="character" w:customStyle="1" w:styleId="CharStyle25">
    <w:name w:val="Body text|1_"/>
    <w:basedOn w:val="DefaultParagraphFont"/>
    <w:link w:val="Style24"/>
    <w:rPr>
      <w:b w:val="0"/>
      <w:i w:val="0"/>
      <w:smallCaps w:val="0"/>
      <w:strike w:val="0"/>
      <w:sz w:val="22"/>
      <w:u w:val="none"/>
    </w:rPr>
  </w:style>
  <w:style w:type="character" w:customStyle="1" w:styleId="CharStyle28">
    <w:name w:val="Picture caption|1_"/>
    <w:basedOn w:val="DefaultParagraphFont"/>
    <w:link w:val="Style27"/>
    <w:rPr>
      <w:rFonts w:ascii="Arial" w:hAnsi="Arial" w:cs="Arial" w:eastAsia="Arial"/>
      <w:b/>
      <w:i w:val="0"/>
      <w:smallCaps w:val="0"/>
      <w:strike w:val="0"/>
      <w:color w:val="656361"/>
      <w:sz w:val="11"/>
      <w:u w:val="none"/>
    </w:rPr>
  </w:style>
  <w:style w:type="character" w:customStyle="1" w:styleId="CharStyle33">
    <w:name w:val="Body text|5_"/>
    <w:basedOn w:val="DefaultParagraphFont"/>
    <w:link w:val="Style32"/>
    <w:rPr>
      <w:rFonts w:ascii="Arial" w:hAnsi="Arial" w:cs="Arial" w:eastAsia="Arial"/>
      <w:b w:val="0"/>
      <w:i w:val="0"/>
      <w:smallCaps w:val="0"/>
      <w:strike w:val="0"/>
      <w:color w:val="A0A1A1"/>
      <w:sz w:val="10"/>
      <w:u w:val="none"/>
    </w:rPr>
  </w:style>
  <w:style w:type="character" w:customStyle="1" w:styleId="CharStyle35">
    <w:name w:val="Heading #2|1_"/>
    <w:basedOn w:val="DefaultParagraphFont"/>
    <w:link w:val="Style34"/>
    <w:rPr>
      <w:b w:val="0"/>
      <w:i w:val="0"/>
      <w:smallCaps w:val="0"/>
      <w:strike w:val="0"/>
      <w:color w:val="0E2841"/>
      <w:sz w:val="28"/>
      <w:u w:val="none"/>
    </w:rPr>
  </w:style>
  <w:style w:type="character" w:customStyle="1" w:styleId="CharStyle37">
    <w:name w:val="Body text|2_"/>
    <w:basedOn w:val="DefaultParagraphFont"/>
    <w:link w:val="Style36"/>
    <w:rPr>
      <w:rFonts w:ascii="Arial" w:hAnsi="Arial" w:cs="Arial" w:eastAsia="Arial"/>
      <w:b w:val="0"/>
      <w:i w:val="0"/>
      <w:smallCaps w:val="0"/>
      <w:strike w:val="0"/>
      <w:color w:val="656361"/>
      <w:sz w:val="16"/>
      <w:u w:val="none"/>
    </w:rPr>
  </w:style>
  <w:style w:type="character" w:customStyle="1" w:styleId="CharStyle40">
    <w:name w:val="Body text|6_"/>
    <w:basedOn w:val="DefaultParagraphFont"/>
    <w:link w:val="Style39"/>
    <w:rPr>
      <w:rFonts w:ascii="Arial" w:hAnsi="Arial" w:cs="Arial" w:eastAsia="Arial"/>
      <w:b w:val="0"/>
      <w:i w:val="0"/>
      <w:smallCaps w:val="0"/>
      <w:strike w:val="0"/>
      <w:sz w:val="19"/>
      <w:u w:val="none"/>
    </w:rPr>
  </w:style>
  <w:style w:type="character" w:customStyle="1" w:styleId="CharStyle55">
    <w:name w:val="Heading #3|1_"/>
    <w:basedOn w:val="DefaultParagraphFont"/>
    <w:link w:val="Style54"/>
    <w:rPr>
      <w:b/>
      <w:i w:val="0"/>
      <w:smallCaps w:val="0"/>
      <w:strike w:val="0"/>
      <w:color w:val="FAE1C4"/>
      <w:sz w:val="22"/>
      <w:u w:val="none"/>
    </w:rPr>
  </w:style>
  <w:style w:type="character" w:customStyle="1" w:styleId="CharStyle58">
    <w:name w:val="Body text|4_"/>
    <w:basedOn w:val="DefaultParagraphFont"/>
    <w:link w:val="Style57"/>
    <w:rPr>
      <w:rFonts w:ascii="Arial" w:hAnsi="Arial" w:cs="Arial" w:eastAsia="Arial"/>
      <w:b w:val="0"/>
      <w:i w:val="0"/>
      <w:smallCaps w:val="0"/>
      <w:strike w:val="0"/>
      <w:color w:val="A0A1A1"/>
      <w:sz w:val="14"/>
      <w:u w:val="none"/>
    </w:rPr>
  </w:style>
  <w:style w:type="character" w:customStyle="1" w:styleId="CharStyle66">
    <w:name w:val="Table caption|1_"/>
    <w:basedOn w:val="DefaultParagraphFont"/>
    <w:link w:val="Style65"/>
    <w:rPr>
      <w:b w:val="0"/>
      <w:i w:val="0"/>
      <w:smallCaps w:val="0"/>
      <w:strike w:val="0"/>
      <w:sz w:val="22"/>
      <w:u w:val="single"/>
    </w:rPr>
  </w:style>
  <w:style w:type="character" w:customStyle="1" w:styleId="CharStyle111">
    <w:name w:val="Body text|3_"/>
    <w:basedOn w:val="DefaultParagraphFont"/>
    <w:link w:val="Style110"/>
    <w:rPr>
      <w:b w:val="0"/>
      <w:i w:val="0"/>
      <w:smallCaps w:val="0"/>
      <w:strike w:val="0"/>
      <w:color w:val="464648"/>
      <w:sz w:val="17"/>
      <w:u w:val="none"/>
    </w:rPr>
  </w:style>
  <w:style w:type="character" w:customStyle="1" w:styleId="CharStyle129">
    <w:name w:val="Heading #1|1_"/>
    <w:basedOn w:val="DefaultParagraphFont"/>
    <w:link w:val="Style128"/>
    <w:rPr>
      <w:rFonts w:ascii="Arial" w:hAnsi="Arial" w:cs="Arial" w:eastAsia="Arial"/>
      <w:b w:val="0"/>
      <w:i w:val="0"/>
      <w:smallCaps w:val="0"/>
      <w:strike w:val="0"/>
      <w:color w:val="656361"/>
      <w:sz w:val="34"/>
      <w:u w:val="none"/>
    </w:rPr>
  </w:style>
  <w:style w:type="character" w:customStyle="1" w:styleId="CharStyle221">
    <w:name w:val="Header or footer|1_"/>
    <w:basedOn w:val="DefaultParagraphFont"/>
    <w:link w:val="Style220"/>
    <w:rPr>
      <w:b w:val="0"/>
      <w:i w:val="0"/>
      <w:smallCaps w:val="0"/>
      <w:strike w:val="0"/>
      <w:sz w:val="22"/>
      <w:u w:val="none"/>
    </w:rPr>
  </w:style>
  <w:style w:type="character" w:customStyle="1" w:styleId="CharStyle341">
    <w:name w:val="Body text|7_"/>
    <w:basedOn w:val="DefaultParagraphFont"/>
    <w:link w:val="Style340"/>
    <w:rPr>
      <w:rFonts w:ascii="Arial" w:hAnsi="Arial" w:cs="Arial" w:eastAsia="Arial"/>
      <w:b w:val="0"/>
      <w:i w:val="0"/>
      <w:smallCaps w:val="0"/>
      <w:strike w:val="0"/>
      <w:sz w:val="9"/>
      <w:u w:val="none"/>
    </w:rPr>
  </w:style>
  <w:style w:type="paragraph" w:customStyle="1" w:styleId="Style2">
    <w:name w:val="Footnote|1"/>
    <w:basedOn w:val="Normal"/>
    <w:link w:val="CharStyle3"/>
    <w:pPr>
      <w:widowControl w:val="0"/>
      <w:shd w:val="clear" w:color="auto" w:fill="auto"/>
    </w:pPr>
    <w:rPr>
      <w:b w:val="0"/>
      <w:i w:val="0"/>
      <w:smallCaps w:val="0"/>
      <w:strike w:val="0"/>
      <w:sz w:val="20"/>
      <w:u w:val="none"/>
    </w:rPr>
  </w:style>
  <w:style w:type="paragraph" w:customStyle="1" w:styleId="Style18">
    <w:name w:val="Other|1"/>
    <w:basedOn w:val="Normal"/>
    <w:link w:val="CharStyle19"/>
    <w:pPr>
      <w:widowControl w:val="0"/>
      <w:shd w:val="clear" w:color="auto" w:fill="auto"/>
      <w:spacing w:after="260" w:line="262" w:lineRule="auto"/>
      <w:ind w:firstLine="400"/>
    </w:pPr>
    <w:rPr>
      <w:b w:val="0"/>
      <w:i w:val="0"/>
      <w:smallCaps w:val="0"/>
      <w:strike w:val="0"/>
      <w:sz w:val="22"/>
      <w:u w:val="none"/>
    </w:rPr>
  </w:style>
  <w:style w:type="paragraph" w:customStyle="1" w:styleId="Style21">
    <w:name w:val="Header or footer|2"/>
    <w:basedOn w:val="Normal"/>
    <w:link w:val="CharStyle22"/>
    <w:pPr>
      <w:widowControl w:val="0"/>
      <w:shd w:val="clear" w:color="auto" w:fill="auto"/>
    </w:pPr>
    <w:rPr>
      <w:b w:val="0"/>
      <w:i w:val="0"/>
      <w:smallCaps w:val="0"/>
      <w:strike w:val="0"/>
      <w:sz w:val="20"/>
      <w:u w:val="none"/>
    </w:rPr>
  </w:style>
  <w:style w:type="paragraph" w:customStyle="1" w:styleId="Style24">
    <w:name w:val="Body text|1"/>
    <w:basedOn w:val="Normal"/>
    <w:link w:val="CharStyle25"/>
    <w:pPr>
      <w:widowControl w:val="0"/>
      <w:shd w:val="clear" w:color="auto" w:fill="auto"/>
      <w:spacing w:after="260" w:line="262" w:lineRule="auto"/>
      <w:ind w:firstLine="400"/>
    </w:pPr>
    <w:rPr>
      <w:b w:val="0"/>
      <w:i w:val="0"/>
      <w:smallCaps w:val="0"/>
      <w:strike w:val="0"/>
      <w:sz w:val="22"/>
      <w:u w:val="none"/>
    </w:rPr>
  </w:style>
  <w:style w:type="paragraph" w:customStyle="1" w:styleId="Style27">
    <w:name w:val="Picture caption|1"/>
    <w:basedOn w:val="Normal"/>
    <w:link w:val="CharStyle28"/>
    <w:pPr>
      <w:widowControl w:val="0"/>
      <w:shd w:val="clear" w:color="auto" w:fill="auto"/>
      <w:spacing w:line="329" w:lineRule="auto"/>
    </w:pPr>
    <w:rPr>
      <w:rFonts w:ascii="Arial" w:hAnsi="Arial" w:cs="Arial" w:eastAsia="Arial"/>
      <w:b/>
      <w:i w:val="0"/>
      <w:smallCaps w:val="0"/>
      <w:strike w:val="0"/>
      <w:color w:val="656361"/>
      <w:sz w:val="11"/>
      <w:u w:val="none"/>
    </w:rPr>
  </w:style>
  <w:style w:type="paragraph" w:customStyle="1" w:styleId="Style32">
    <w:name w:val="Body text|5"/>
    <w:basedOn w:val="Normal"/>
    <w:link w:val="CharStyle33"/>
    <w:pPr>
      <w:widowControl w:val="0"/>
      <w:shd w:val="clear" w:color="auto" w:fill="auto"/>
      <w:spacing w:after="400"/>
      <w:ind w:left="2260"/>
    </w:pPr>
    <w:rPr>
      <w:rFonts w:ascii="Arial" w:hAnsi="Arial" w:cs="Arial" w:eastAsia="Arial"/>
      <w:b w:val="0"/>
      <w:i w:val="0"/>
      <w:smallCaps w:val="0"/>
      <w:strike w:val="0"/>
      <w:color w:val="A0A1A1"/>
      <w:sz w:val="10"/>
      <w:u w:val="none"/>
    </w:rPr>
  </w:style>
  <w:style w:type="paragraph" w:customStyle="1" w:styleId="Style34">
    <w:name w:val="Heading #2|1"/>
    <w:basedOn w:val="Normal"/>
    <w:link w:val="CharStyle35"/>
    <w:pPr>
      <w:widowControl w:val="0"/>
      <w:shd w:val="clear" w:color="auto" w:fill="auto"/>
      <w:spacing w:after="320"/>
      <w:outlineLvl w:val="1"/>
    </w:pPr>
    <w:rPr>
      <w:b w:val="0"/>
      <w:i w:val="0"/>
      <w:smallCaps w:val="0"/>
      <w:strike w:val="0"/>
      <w:color w:val="0E2841"/>
      <w:sz w:val="28"/>
      <w:u w:val="none"/>
    </w:rPr>
  </w:style>
  <w:style w:type="paragraph" w:customStyle="1" w:styleId="Style36">
    <w:name w:val="Body text|2"/>
    <w:basedOn w:val="Normal"/>
    <w:link w:val="CharStyle37"/>
    <w:pPr>
      <w:widowControl w:val="0"/>
      <w:shd w:val="clear" w:color="auto" w:fill="auto"/>
      <w:spacing w:after="230" w:line="305" w:lineRule="auto"/>
      <w:ind w:firstLine="740"/>
    </w:pPr>
    <w:rPr>
      <w:rFonts w:ascii="Arial" w:hAnsi="Arial" w:cs="Arial" w:eastAsia="Arial"/>
      <w:b w:val="0"/>
      <w:i w:val="0"/>
      <w:smallCaps w:val="0"/>
      <w:strike w:val="0"/>
      <w:color w:val="656361"/>
      <w:sz w:val="16"/>
      <w:u w:val="none"/>
    </w:rPr>
  </w:style>
  <w:style w:type="paragraph" w:customStyle="1" w:styleId="Style39">
    <w:name w:val="Body text|6"/>
    <w:basedOn w:val="Normal"/>
    <w:link w:val="CharStyle40"/>
    <w:pPr>
      <w:widowControl w:val="0"/>
      <w:shd w:val="clear" w:color="auto" w:fill="auto"/>
      <w:spacing w:after="20"/>
      <w:ind w:left="500" w:firstLine="370"/>
    </w:pPr>
    <w:rPr>
      <w:rFonts w:ascii="Arial" w:hAnsi="Arial" w:cs="Arial" w:eastAsia="Arial"/>
      <w:b w:val="0"/>
      <w:i w:val="0"/>
      <w:smallCaps w:val="0"/>
      <w:strike w:val="0"/>
      <w:sz w:val="19"/>
      <w:u w:val="none"/>
    </w:rPr>
  </w:style>
  <w:style w:type="paragraph" w:customStyle="1" w:styleId="Style54">
    <w:name w:val="Heading #3|1"/>
    <w:basedOn w:val="Normal"/>
    <w:link w:val="CharStyle55"/>
    <w:pPr>
      <w:widowControl w:val="0"/>
      <w:shd w:val="clear" w:color="auto" w:fill="auto"/>
      <w:spacing w:line="214" w:lineRule="auto"/>
      <w:jc w:val="center"/>
      <w:outlineLvl w:val="2"/>
    </w:pPr>
    <w:rPr>
      <w:b/>
      <w:i w:val="0"/>
      <w:smallCaps w:val="0"/>
      <w:strike w:val="0"/>
      <w:color w:val="FAE1C4"/>
      <w:sz w:val="22"/>
      <w:u w:val="none"/>
    </w:rPr>
  </w:style>
  <w:style w:type="paragraph" w:customStyle="1" w:styleId="Style57">
    <w:name w:val="Body text|4"/>
    <w:basedOn w:val="Normal"/>
    <w:link w:val="CharStyle58"/>
    <w:pPr>
      <w:widowControl w:val="0"/>
      <w:shd w:val="clear" w:color="auto" w:fill="auto"/>
    </w:pPr>
    <w:rPr>
      <w:rFonts w:ascii="Arial" w:hAnsi="Arial" w:cs="Arial" w:eastAsia="Arial"/>
      <w:b w:val="0"/>
      <w:i w:val="0"/>
      <w:smallCaps w:val="0"/>
      <w:strike w:val="0"/>
      <w:color w:val="A0A1A1"/>
      <w:sz w:val="14"/>
      <w:u w:val="none"/>
    </w:rPr>
  </w:style>
  <w:style w:type="paragraph" w:customStyle="1" w:styleId="Style65">
    <w:name w:val="Table caption|1"/>
    <w:basedOn w:val="Normal"/>
    <w:link w:val="CharStyle66"/>
    <w:pPr>
      <w:widowControl w:val="0"/>
      <w:shd w:val="clear" w:color="auto" w:fill="auto"/>
    </w:pPr>
    <w:rPr>
      <w:b w:val="0"/>
      <w:i w:val="0"/>
      <w:smallCaps w:val="0"/>
      <w:strike w:val="0"/>
      <w:sz w:val="22"/>
      <w:u w:val="single"/>
    </w:rPr>
  </w:style>
  <w:style w:type="paragraph" w:customStyle="1" w:styleId="Style110">
    <w:name w:val="Body text|3"/>
    <w:basedOn w:val="Normal"/>
    <w:link w:val="CharStyle111"/>
    <w:pPr>
      <w:widowControl w:val="0"/>
      <w:shd w:val="clear" w:color="auto" w:fill="auto"/>
      <w:spacing w:after="220" w:line="259" w:lineRule="auto"/>
      <w:ind w:left="640" w:firstLine="20"/>
    </w:pPr>
    <w:rPr>
      <w:b w:val="0"/>
      <w:i w:val="0"/>
      <w:smallCaps w:val="0"/>
      <w:strike w:val="0"/>
      <w:color w:val="464648"/>
      <w:sz w:val="17"/>
      <w:u w:val="none"/>
    </w:rPr>
  </w:style>
  <w:style w:type="paragraph" w:customStyle="1" w:styleId="Style128">
    <w:name w:val="Heading #1|1"/>
    <w:basedOn w:val="Normal"/>
    <w:link w:val="CharStyle129"/>
    <w:pPr>
      <w:widowControl w:val="0"/>
      <w:shd w:val="clear" w:color="auto" w:fill="auto"/>
      <w:spacing w:after="200" w:line="197" w:lineRule="auto"/>
      <w:outlineLvl w:val="0"/>
    </w:pPr>
    <w:rPr>
      <w:rFonts w:ascii="Arial" w:hAnsi="Arial" w:cs="Arial" w:eastAsia="Arial"/>
      <w:b w:val="0"/>
      <w:i w:val="0"/>
      <w:smallCaps w:val="0"/>
      <w:strike w:val="0"/>
      <w:color w:val="656361"/>
      <w:sz w:val="34"/>
      <w:u w:val="none"/>
    </w:rPr>
  </w:style>
  <w:style w:type="paragraph" w:customStyle="1" w:styleId="Style220">
    <w:name w:val="Header or footer|1"/>
    <w:basedOn w:val="Normal"/>
    <w:link w:val="CharStyle221"/>
    <w:pPr>
      <w:widowControl w:val="0"/>
      <w:shd w:val="clear" w:color="auto" w:fill="auto"/>
      <w:jc w:val="center"/>
    </w:pPr>
    <w:rPr>
      <w:b w:val="0"/>
      <w:i w:val="0"/>
      <w:smallCaps w:val="0"/>
      <w:strike w:val="0"/>
      <w:sz w:val="22"/>
      <w:u w:val="none"/>
    </w:rPr>
  </w:style>
  <w:style w:type="paragraph" w:customStyle="1" w:styleId="Style340">
    <w:name w:val="Body text|7"/>
    <w:basedOn w:val="Normal"/>
    <w:link w:val="CharStyle341"/>
    <w:pPr>
      <w:widowControl w:val="0"/>
      <w:shd w:val="clear" w:color="auto" w:fill="auto"/>
      <w:ind w:left="1860"/>
    </w:pPr>
    <w:rPr>
      <w:rFonts w:ascii="Arial" w:hAnsi="Arial" w:cs="Arial" w:eastAsia="Arial"/>
      <w:b w:val="0"/>
      <w:i w:val="0"/>
      <w:smallCaps w:val="0"/>
      <w:strike w:val="0"/>
      <w:sz w:val="9"/>
      <w:u w:val="none"/>
    </w:rPr>
  </w:style>
</w:styles>
</file>

<file path=word/_rels/document.xml.rels><?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footer" Target="footer1.xml"/><Relationship Id="rId24" Type="http://schemas.openxmlformats.org/officeDocument/2006/relationships/image" Target="media/image10.jpeg"/><Relationship Id="rId25" Type="http://schemas.openxmlformats.org/officeDocument/2006/relationships/image" Target="media/image10.jpeg" TargetMode="External"/><Relationship Id="rId26" Type="http://schemas.openxmlformats.org/officeDocument/2006/relationships/image" Target="media/image11.jpeg"/><Relationship Id="rId27" Type="http://schemas.openxmlformats.org/officeDocument/2006/relationships/image" Target="media/image11.jpeg" TargetMode="External"/><Relationship Id="rId28" Type="http://schemas.openxmlformats.org/officeDocument/2006/relationships/image" Target="media/image12.jpeg"/><Relationship Id="rId29" Type="http://schemas.openxmlformats.org/officeDocument/2006/relationships/image" Target="media/image12.jpeg" TargetMode="External"/><Relationship Id="rId30" Type="http://schemas.openxmlformats.org/officeDocument/2006/relationships/image" Target="media/image13.jpeg"/><Relationship Id="rId31" Type="http://schemas.openxmlformats.org/officeDocument/2006/relationships/image" Target="media/image13.jpeg" TargetMode="External"/><Relationship Id="rId32" Type="http://schemas.openxmlformats.org/officeDocument/2006/relationships/image" Target="media/image14.jpeg"/><Relationship Id="rId33" Type="http://schemas.openxmlformats.org/officeDocument/2006/relationships/image" Target="media/image14.jpeg" TargetMode="External"/><Relationship Id="rId34" Type="http://schemas.openxmlformats.org/officeDocument/2006/relationships/image" Target="media/image15.png"/><Relationship Id="rId35" Type="http://schemas.openxmlformats.org/officeDocument/2006/relationships/image" Target="media/image15.png" TargetMode="External"/><Relationship Id="rId36" Type="http://schemas.openxmlformats.org/officeDocument/2006/relationships/image" Target="media/image16.png"/><Relationship Id="rId37" Type="http://schemas.openxmlformats.org/officeDocument/2006/relationships/image" Target="media/image16.png" TargetMode="External"/><Relationship Id="rId38" Type="http://schemas.openxmlformats.org/officeDocument/2006/relationships/image" Target="media/image17.png"/><Relationship Id="rId39" Type="http://schemas.openxmlformats.org/officeDocument/2006/relationships/image" Target="media/image17.png" TargetMode="External"/><Relationship Id="rId40" Type="http://schemas.openxmlformats.org/officeDocument/2006/relationships/image" Target="media/image18.png"/><Relationship Id="rId41" Type="http://schemas.openxmlformats.org/officeDocument/2006/relationships/image" Target="media/image18.png" TargetMode="External"/><Relationship Id="rId42" Type="http://schemas.openxmlformats.org/officeDocument/2006/relationships/image" Target="media/image19.png"/><Relationship Id="rId43" Type="http://schemas.openxmlformats.org/officeDocument/2006/relationships/image" Target="media/image19.png" TargetMode="External"/><Relationship Id="rId44" Type="http://schemas.openxmlformats.org/officeDocument/2006/relationships/image" Target="media/image20.jpeg"/><Relationship Id="rId45" Type="http://schemas.openxmlformats.org/officeDocument/2006/relationships/image" Target="media/image20.jpeg" TargetMode="External"/><Relationship Id="rId46" Type="http://schemas.openxmlformats.org/officeDocument/2006/relationships/image" Target="media/image21.png"/><Relationship Id="rId47" Type="http://schemas.openxmlformats.org/officeDocument/2006/relationships/image" Target="media/image21.png" TargetMode="External"/><Relationship Id="rId48" Type="http://schemas.openxmlformats.org/officeDocument/2006/relationships/image" Target="media/image22.jpeg"/><Relationship Id="rId49" Type="http://schemas.openxmlformats.org/officeDocument/2006/relationships/image" Target="media/image22.jpeg" TargetMode="External"/><Relationship Id="rId50" Type="http://schemas.openxmlformats.org/officeDocument/2006/relationships/footer" Target="footer2.xml"/><Relationship Id="rId51" Type="http://schemas.openxmlformats.org/officeDocument/2006/relationships/image" Target="media/image23.jpeg"/><Relationship Id="rId52" Type="http://schemas.openxmlformats.org/officeDocument/2006/relationships/image" Target="media/image23.jpeg" TargetMode="External"/><Relationship Id="rId53" Type="http://schemas.openxmlformats.org/officeDocument/2006/relationships/footer" Target="footer3.xml"/><Relationship Id="rId54" Type="http://schemas.openxmlformats.org/officeDocument/2006/relationships/image" Target="media/image24.jpeg"/><Relationship Id="rId55" Type="http://schemas.openxmlformats.org/officeDocument/2006/relationships/image" Target="media/image24.jpeg" TargetMode="External"/><Relationship Id="rId56" Type="http://schemas.openxmlformats.org/officeDocument/2006/relationships/image" Target="media/image25.jpeg"/><Relationship Id="rId57" Type="http://schemas.openxmlformats.org/officeDocument/2006/relationships/image" Target="media/image25.jpeg" TargetMode="External"/><Relationship Id="rId58" Type="http://schemas.openxmlformats.org/officeDocument/2006/relationships/image" Target="media/image26.jpeg"/><Relationship Id="rId59" Type="http://schemas.openxmlformats.org/officeDocument/2006/relationships/image" Target="media/image26.jpeg" TargetMode="External"/><Relationship Id="rId60" Type="http://schemas.openxmlformats.org/officeDocument/2006/relationships/image" Target="media/image27.jpeg"/><Relationship Id="rId61" Type="http://schemas.openxmlformats.org/officeDocument/2006/relationships/image" Target="media/image27.jpeg" TargetMode="External"/><Relationship Id="rId62" Type="http://schemas.openxmlformats.org/officeDocument/2006/relationships/image" Target="media/image28.jpeg"/><Relationship Id="rId63" Type="http://schemas.openxmlformats.org/officeDocument/2006/relationships/image" Target="media/image28.jpeg" TargetMode="External"/><Relationship Id="rId64" Type="http://schemas.openxmlformats.org/officeDocument/2006/relationships/image" Target="media/image29.png"/><Relationship Id="rId65" Type="http://schemas.openxmlformats.org/officeDocument/2006/relationships/image" Target="media/image29.png" TargetMode="External"/><Relationship Id="rId66" Type="http://schemas.openxmlformats.org/officeDocument/2006/relationships/image" Target="media/image30.png"/><Relationship Id="rId67" Type="http://schemas.openxmlformats.org/officeDocument/2006/relationships/image" Target="media/image30.png" TargetMode="External"/><Relationship Id="rId68" Type="http://schemas.openxmlformats.org/officeDocument/2006/relationships/image" Target="media/image31.png"/><Relationship Id="rId69" Type="http://schemas.openxmlformats.org/officeDocument/2006/relationships/image" Target="media/image31.png" TargetMode="External"/><Relationship Id="rId70" Type="http://schemas.openxmlformats.org/officeDocument/2006/relationships/image" Target="media/image32.png"/><Relationship Id="rId71" Type="http://schemas.openxmlformats.org/officeDocument/2006/relationships/image" Target="media/image32.png" TargetMode="External"/><Relationship Id="rId72" Type="http://schemas.openxmlformats.org/officeDocument/2006/relationships/image" Target="media/image33.jpeg"/><Relationship Id="rId73" Type="http://schemas.openxmlformats.org/officeDocument/2006/relationships/image" Target="media/image33.jpeg" TargetMode="External"/><Relationship Id="rId74" Type="http://schemas.openxmlformats.org/officeDocument/2006/relationships/image" Target="media/image34.png"/><Relationship Id="rId75" Type="http://schemas.openxmlformats.org/officeDocument/2006/relationships/image" Target="media/image34.png" TargetMode="External"/><Relationship Id="rId76" Type="http://schemas.openxmlformats.org/officeDocument/2006/relationships/image" Target="media/image35.jpeg"/><Relationship Id="rId77" Type="http://schemas.openxmlformats.org/officeDocument/2006/relationships/image" Target="media/image35.jpeg" TargetMode="External"/><Relationship Id="rId78" Type="http://schemas.openxmlformats.org/officeDocument/2006/relationships/image" Target="media/image36.jpeg"/><Relationship Id="rId79" Type="http://schemas.openxmlformats.org/officeDocument/2006/relationships/image" Target="media/image36.jpeg" TargetMode="External"/><Relationship Id="rId80" Type="http://schemas.openxmlformats.org/officeDocument/2006/relationships/image" Target="media/image37.jpeg"/><Relationship Id="rId81" Type="http://schemas.openxmlformats.org/officeDocument/2006/relationships/image" Target="media/image37.jpeg" TargetMode="External"/><Relationship Id="rId82" Type="http://schemas.openxmlformats.org/officeDocument/2006/relationships/image" Target="media/image38.png"/><Relationship Id="rId83" Type="http://schemas.openxmlformats.org/officeDocument/2006/relationships/image" Target="media/image38.png" TargetMode="External"/><Relationship Id="rId84" Type="http://schemas.openxmlformats.org/officeDocument/2006/relationships/image" Target="media/image39.png"/><Relationship Id="rId85" Type="http://schemas.openxmlformats.org/officeDocument/2006/relationships/image" Target="media/image39.png" TargetMode="External"/><Relationship Id="rId86" Type="http://schemas.openxmlformats.org/officeDocument/2006/relationships/image" Target="media/image40.jpeg"/><Relationship Id="rId87" Type="http://schemas.openxmlformats.org/officeDocument/2006/relationships/image" Target="media/image40.jpeg" TargetMode="External"/><Relationship Id="rId88" Type="http://schemas.openxmlformats.org/officeDocument/2006/relationships/image" Target="media/image41.png"/><Relationship Id="rId89" Type="http://schemas.openxmlformats.org/officeDocument/2006/relationships/image" Target="media/image41.png" TargetMode="External"/><Relationship Id="rId90" Type="http://schemas.openxmlformats.org/officeDocument/2006/relationships/image" Target="media/image42.png"/><Relationship Id="rId91" Type="http://schemas.openxmlformats.org/officeDocument/2006/relationships/image" Target="media/image42.png" TargetMode="External"/><Relationship Id="rId92" Type="http://schemas.openxmlformats.org/officeDocument/2006/relationships/image" Target="media/image43.jpeg"/><Relationship Id="rId93" Type="http://schemas.openxmlformats.org/officeDocument/2006/relationships/image" Target="media/image43.jpeg" TargetMode="External"/><Relationship Id="rId94" Type="http://schemas.openxmlformats.org/officeDocument/2006/relationships/footer" Target="footer4.xml"/><Relationship Id="rId95" Type="http://schemas.openxmlformats.org/officeDocument/2006/relationships/footer" Target="footer5.xml"/><Relationship Id="rId96" Type="http://schemas.openxmlformats.org/officeDocument/2006/relationships/image" Target="media/image44.jpeg"/><Relationship Id="rId97" Type="http://schemas.openxmlformats.org/officeDocument/2006/relationships/image" Target="media/image44.jpeg" TargetMode="External"/><Relationship Id="rId98" Type="http://schemas.openxmlformats.org/officeDocument/2006/relationships/image" Target="media/image45.jpeg"/><Relationship Id="rId99" Type="http://schemas.openxmlformats.org/officeDocument/2006/relationships/image" Target="media/image45.jpeg" TargetMode="External"/><Relationship Id="rId100" Type="http://schemas.openxmlformats.org/officeDocument/2006/relationships/image" Target="media/image46.jpeg"/><Relationship Id="rId101" Type="http://schemas.openxmlformats.org/officeDocument/2006/relationships/image" Target="media/image46.jpeg" TargetMode="External"/><Relationship Id="rId102" Type="http://schemas.openxmlformats.org/officeDocument/2006/relationships/image" Target="media/image47.jpeg"/><Relationship Id="rId103" Type="http://schemas.openxmlformats.org/officeDocument/2006/relationships/image" Target="media/image47.jpeg" TargetMode="External"/><Relationship Id="rId104" Type="http://schemas.openxmlformats.org/officeDocument/2006/relationships/image" Target="media/image48.jpeg"/><Relationship Id="rId105" Type="http://schemas.openxmlformats.org/officeDocument/2006/relationships/image" Target="media/image48.jpeg" TargetMode="External"/><Relationship Id="rId106" Type="http://schemas.openxmlformats.org/officeDocument/2006/relationships/image" Target="media/image49.jpeg"/><Relationship Id="rId107" Type="http://schemas.openxmlformats.org/officeDocument/2006/relationships/image" Target="media/image49.jpeg" TargetMode="External"/><Relationship Id="rId108" Type="http://schemas.openxmlformats.org/officeDocument/2006/relationships/footer" Target="footer6.xml"/><Relationship Id="rId109" Type="http://schemas.openxmlformats.org/officeDocument/2006/relationships/footer" Target="footer7.xml"/><Relationship Id="rId110" Type="http://schemas.openxmlformats.org/officeDocument/2006/relationships/footer" Target="footer8.xml"/><Relationship Id="rId111" Type="http://schemas.openxmlformats.org/officeDocument/2006/relationships/footer" Target="footer9.xml"/><Relationship Id="rId112" Type="http://schemas.openxmlformats.org/officeDocument/2006/relationships/footer" Target="footer10.xml"/><Relationship Id="rId113" Type="http://schemas.openxmlformats.org/officeDocument/2006/relationships/image" Target="media/image50.jpeg"/><Relationship Id="rId114" Type="http://schemas.openxmlformats.org/officeDocument/2006/relationships/image" Target="media/image50.jpeg" TargetMode="External"/><Relationship Id="rId115" Type="http://schemas.openxmlformats.org/officeDocument/2006/relationships/footer" Target="footer11.xml"/><Relationship Id="rId116" Type="http://schemas.openxmlformats.org/officeDocument/2006/relationships/footer" Target="footer12.xml"/><Relationship Id="rId117" Type="http://schemas.openxmlformats.org/officeDocument/2006/relationships/image" Target="media/image51.jpeg"/><Relationship Id="rId118" Type="http://schemas.openxmlformats.org/officeDocument/2006/relationships/image" Target="media/image51.jpeg" TargetMode="External"/><Relationship Id="rId119" Type="http://schemas.openxmlformats.org/officeDocument/2006/relationships/footer" Target="footer13.xml"/><Relationship Id="rId120" Type="http://schemas.openxmlformats.org/officeDocument/2006/relationships/image" Target="media/image52.jpeg"/><Relationship Id="rId121" Type="http://schemas.openxmlformats.org/officeDocument/2006/relationships/image" Target="media/image52.jpeg" TargetMode="External"/><Relationship Id="rId122" Type="http://schemas.openxmlformats.org/officeDocument/2006/relationships/image" Target="media/image53.jpeg"/><Relationship Id="rId123" Type="http://schemas.openxmlformats.org/officeDocument/2006/relationships/image" Target="media/image53.jpeg" TargetMode="External"/><Relationship Id="rId124" Type="http://schemas.openxmlformats.org/officeDocument/2006/relationships/image" Target="media/image54.jpeg"/><Relationship Id="rId125" Type="http://schemas.openxmlformats.org/officeDocument/2006/relationships/image" Target="media/image54.jpeg" TargetMode="External"/><Relationship Id="rId126" Type="http://schemas.openxmlformats.org/officeDocument/2006/relationships/image" Target="media/image55.png"/><Relationship Id="rId127" Type="http://schemas.openxmlformats.org/officeDocument/2006/relationships/image" Target="media/image55.png" TargetMode="External"/><Relationship Id="rId128" Type="http://schemas.openxmlformats.org/officeDocument/2006/relationships/image" Target="media/image56.jpeg"/><Relationship Id="rId129" Type="http://schemas.openxmlformats.org/officeDocument/2006/relationships/image" Target="media/image56.jpeg" TargetMode="External"/></Relationships>
</file>